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0E0E" w14:textId="7D10AD50"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Pr="00841BCD">
        <w:rPr>
          <w:rFonts w:ascii="Arial" w:eastAsia="SimSun" w:hAnsi="Arial"/>
          <w:b/>
          <w:sz w:val="24"/>
        </w:rPr>
        <w:t xml:space="preserve">             </w:t>
      </w:r>
      <w:r w:rsidRPr="00841BCD">
        <w:rPr>
          <w:rFonts w:ascii="Arial" w:eastAsia="SimSun" w:hAnsi="Arial"/>
          <w:b/>
          <w:bCs/>
          <w:sz w:val="24"/>
        </w:rPr>
        <w:tab/>
      </w:r>
      <w:r w:rsidR="00D4385C" w:rsidRPr="00D4385C">
        <w:rPr>
          <w:rFonts w:ascii="Arial" w:eastAsia="SimSun" w:hAnsi="Arial"/>
          <w:b/>
          <w:bCs/>
          <w:sz w:val="24"/>
          <w:lang w:eastAsia="ja-JP"/>
        </w:rPr>
        <w:t>R4-210014</w:t>
      </w:r>
      <w:r w:rsidR="009B5B2A">
        <w:rPr>
          <w:rFonts w:ascii="Arial" w:eastAsia="SimSun" w:hAnsi="Arial"/>
          <w:b/>
          <w:bCs/>
          <w:sz w:val="24"/>
          <w:lang w:eastAsia="ja-JP"/>
        </w:rPr>
        <w:t>3</w:t>
      </w:r>
    </w:p>
    <w:p w14:paraId="2FE61A3D" w14:textId="6BC09259"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E-meeting, 2</w:t>
      </w:r>
      <w:r w:rsidR="00F6297A">
        <w:rPr>
          <w:rFonts w:ascii="Arial" w:eastAsia="SimSun" w:hAnsi="Arial"/>
          <w:b/>
          <w:sz w:val="24"/>
        </w:rPr>
        <w:t>1</w:t>
      </w:r>
      <w:r w:rsidR="00F6297A" w:rsidRPr="00F6297A">
        <w:rPr>
          <w:rFonts w:ascii="Arial" w:eastAsia="SimSun" w:hAnsi="Arial"/>
          <w:b/>
          <w:sz w:val="24"/>
          <w:vertAlign w:val="superscript"/>
        </w:rPr>
        <w:t>st</w:t>
      </w:r>
      <w:r w:rsidR="00F6297A">
        <w:rPr>
          <w:rFonts w:ascii="Arial" w:eastAsia="SimSun" w:hAnsi="Arial"/>
          <w:b/>
          <w:sz w:val="24"/>
        </w:rPr>
        <w:t xml:space="preserve"> Jan</w:t>
      </w:r>
      <w:r>
        <w:rPr>
          <w:rFonts w:ascii="Arial" w:eastAsia="SimSun" w:hAnsi="Arial"/>
          <w:b/>
          <w:sz w:val="24"/>
        </w:rPr>
        <w:t xml:space="preserve"> – 5</w:t>
      </w:r>
      <w:r w:rsidRPr="009557A8">
        <w:rPr>
          <w:rFonts w:ascii="Arial" w:eastAsia="SimSun" w:hAnsi="Arial"/>
          <w:b/>
          <w:sz w:val="24"/>
          <w:vertAlign w:val="superscript"/>
        </w:rPr>
        <w:t>th</w:t>
      </w:r>
      <w:r w:rsidR="00F6297A">
        <w:rPr>
          <w:rFonts w:eastAsia="SimSun"/>
        </w:rPr>
        <w:t xml:space="preserve"> </w:t>
      </w:r>
      <w:r w:rsidR="00F6297A" w:rsidRPr="00F6297A">
        <w:rPr>
          <w:rFonts w:ascii="Arial" w:eastAsia="SimSun" w:hAnsi="Arial"/>
          <w:b/>
          <w:bCs/>
          <w:noProof/>
          <w:sz w:val="24"/>
          <w:lang w:eastAsia="zh-CN"/>
        </w:rPr>
        <w:t>Feb</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2CCA56B3"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A2963" w:rsidRPr="004A2963">
        <w:rPr>
          <w:rFonts w:ascii="Arial" w:hAnsi="Arial" w:cs="Arial"/>
          <w:b/>
          <w:sz w:val="22"/>
          <w:szCs w:val="22"/>
        </w:rPr>
        <w:t>Specification differences between IBM and CBM</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22C5CC70"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4A2963" w:rsidRPr="004A2963">
        <w:rPr>
          <w:rFonts w:ascii="Arial" w:hAnsi="Arial" w:cs="Arial"/>
          <w:b/>
          <w:sz w:val="22"/>
          <w:szCs w:val="22"/>
        </w:rPr>
        <w:t>11.3.2.1.1</w:t>
      </w:r>
    </w:p>
    <w:p w14:paraId="0C883BB6" w14:textId="26C0AD06"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EB719D">
        <w:rPr>
          <w:rFonts w:ascii="Arial" w:hAnsi="Arial" w:cs="Arial"/>
          <w:b/>
          <w:sz w:val="22"/>
          <w:szCs w:val="22"/>
        </w:rPr>
        <w:t>Discussion</w:t>
      </w:r>
    </w:p>
    <w:p w14:paraId="06D046F4" w14:textId="332A9B82" w:rsidR="00B97703" w:rsidRDefault="000F6242" w:rsidP="00B97703">
      <w:pPr>
        <w:pStyle w:val="Heading1"/>
      </w:pPr>
      <w:r>
        <w:t>1</w:t>
      </w:r>
      <w:r w:rsidR="002F1940">
        <w:tab/>
      </w:r>
      <w:r w:rsidR="00AA7654">
        <w:t>Introduction</w:t>
      </w:r>
    </w:p>
    <w:p w14:paraId="2F75150A" w14:textId="194435FC" w:rsidR="00AA7654" w:rsidRDefault="00687B49" w:rsidP="00AA7654">
      <w:r>
        <w:t xml:space="preserve">RAN4 has defined FR2 downlink CA UE RF requirements for one CA configuration CA_n260A-n261A based </w:t>
      </w:r>
      <w:r w:rsidR="00775EC5">
        <w:t>o</w:t>
      </w:r>
      <w:r>
        <w:t>n independent beam management</w:t>
      </w:r>
      <w:r w:rsidR="00EB719D">
        <w:t xml:space="preserve"> in REL16.</w:t>
      </w:r>
    </w:p>
    <w:p w14:paraId="68D7B71F" w14:textId="5DAE85C4" w:rsidR="0005100E" w:rsidRDefault="00CD6C60" w:rsidP="00AA7654">
      <w:r>
        <w:t xml:space="preserve">For CBM </w:t>
      </w:r>
      <w:r w:rsidR="009665A4">
        <w:t>REL17 WI has following objective</w:t>
      </w:r>
      <w:r>
        <w:t>s</w:t>
      </w:r>
    </w:p>
    <w:p w14:paraId="38AADEE8" w14:textId="033A5515" w:rsidR="00CD6C60" w:rsidRDefault="00CD6C60" w:rsidP="00CD6C60">
      <w:pPr>
        <w:pStyle w:val="ListParagraph"/>
        <w:numPr>
          <w:ilvl w:val="0"/>
          <w:numId w:val="7"/>
        </w:numPr>
      </w:pPr>
      <w:r>
        <w:t>Study and if feasible define UE requirements for CBM between different freq. groups (e.g. 28GHz + 37GHz)</w:t>
      </w:r>
    </w:p>
    <w:p w14:paraId="7ED6805E" w14:textId="298FA3B9" w:rsidR="009665A4" w:rsidRDefault="009665A4" w:rsidP="00CD6C60">
      <w:pPr>
        <w:pStyle w:val="ListParagraph"/>
        <w:numPr>
          <w:ilvl w:val="0"/>
          <w:numId w:val="7"/>
        </w:numPr>
      </w:pPr>
      <w:r>
        <w:t>Define UE requirements for inter-band CA within the same freq. group (e.g. 28GHz + 28GHz) for common beam management (CBM) based on requested band combinations. Evaluate performance impact based on deployment conditions and design constraints, including outcome of MRTD requirement if any.</w:t>
      </w:r>
    </w:p>
    <w:p w14:paraId="00EDAEEE" w14:textId="5A8B1E22" w:rsidR="00775EC5" w:rsidRDefault="00775EC5" w:rsidP="00AA7654">
      <w:r>
        <w:t xml:space="preserve">In this contribution we discuss </w:t>
      </w:r>
      <w:r w:rsidR="00F46F3C">
        <w:t xml:space="preserve">what are the possible differences </w:t>
      </w:r>
      <w:r w:rsidR="00616CC1">
        <w:t>in terms of requirements between IBM and CBM UE</w:t>
      </w:r>
      <w:r>
        <w:t>.</w:t>
      </w:r>
    </w:p>
    <w:p w14:paraId="6C84CD35" w14:textId="7F19C02F" w:rsidR="00775EC5" w:rsidRDefault="00145F43" w:rsidP="00AA7654">
      <w:r>
        <w:t>Here we are</w:t>
      </w:r>
      <w:r w:rsidR="00775EC5">
        <w:t xml:space="preserve"> re-captur</w:t>
      </w:r>
      <w:r>
        <w:t>ing</w:t>
      </w:r>
      <w:r w:rsidR="00775EC5">
        <w:t xml:space="preserve"> WF from last RAN4 meeting and agreements that are relevant to this contribution.</w:t>
      </w:r>
    </w:p>
    <w:p w14:paraId="50282ED5" w14:textId="0B385935" w:rsidR="00F35373" w:rsidRPr="00F35373" w:rsidRDefault="00F35373" w:rsidP="00F35373">
      <w:pPr>
        <w:overflowPunct/>
        <w:autoSpaceDE/>
        <w:autoSpaceDN/>
        <w:adjustRightInd/>
        <w:textAlignment w:val="auto"/>
        <w:rPr>
          <w:b/>
          <w:bCs/>
          <w:lang w:val="en-US" w:eastAsia="fi-FI"/>
        </w:rPr>
      </w:pPr>
      <w:r w:rsidRPr="00F35373">
        <w:rPr>
          <w:b/>
          <w:bCs/>
          <w:lang w:val="en-US" w:eastAsia="fi-FI"/>
        </w:rPr>
        <w:t>R4-2016915    WF on Applicability of CBM/IBM for different CA    Samsung</w:t>
      </w:r>
      <w:r>
        <w:rPr>
          <w:b/>
          <w:bCs/>
          <w:lang w:val="en-US" w:eastAsia="fi-FI"/>
        </w:rPr>
        <w:t xml:space="preserve"> [1]</w:t>
      </w:r>
    </w:p>
    <w:p w14:paraId="145A73BF" w14:textId="77777777" w:rsidR="006F7B9D" w:rsidRPr="006F7B9D" w:rsidRDefault="006F7B9D" w:rsidP="006F7B9D">
      <w:pPr>
        <w:pStyle w:val="ListParagraph"/>
        <w:numPr>
          <w:ilvl w:val="0"/>
          <w:numId w:val="8"/>
        </w:numPr>
      </w:pPr>
      <w:r w:rsidRPr="006F7B9D">
        <w:rPr>
          <w:lang w:val="en-US"/>
        </w:rPr>
        <w:t>FFS whether CBM can only support CA configurations within same frequency group</w:t>
      </w:r>
    </w:p>
    <w:p w14:paraId="5183220E" w14:textId="77777777" w:rsidR="006F7B9D" w:rsidRPr="006F7B9D" w:rsidRDefault="006F7B9D" w:rsidP="006F7B9D">
      <w:pPr>
        <w:pStyle w:val="ListParagraph"/>
        <w:numPr>
          <w:ilvl w:val="0"/>
          <w:numId w:val="8"/>
        </w:numPr>
        <w:rPr>
          <w:lang w:val="fi-FI"/>
        </w:rPr>
      </w:pPr>
      <w:r w:rsidRPr="006F7B9D">
        <w:rPr>
          <w:lang w:val="en-US"/>
        </w:rPr>
        <w:t>on “frequency group”</w:t>
      </w:r>
    </w:p>
    <w:p w14:paraId="2EBE6581" w14:textId="64D2C83C" w:rsidR="006F7B9D" w:rsidRPr="006F7B9D" w:rsidRDefault="006F7B9D" w:rsidP="006F7B9D">
      <w:pPr>
        <w:pStyle w:val="ListParagraph"/>
        <w:numPr>
          <w:ilvl w:val="0"/>
          <w:numId w:val="8"/>
        </w:numPr>
      </w:pPr>
      <w:r w:rsidRPr="006F7B9D">
        <w:rPr>
          <w:lang w:val="en-US"/>
        </w:rPr>
        <w:t>“</w:t>
      </w:r>
      <w:r>
        <w:rPr>
          <w:lang w:val="en-US"/>
        </w:rPr>
        <w:tab/>
      </w:r>
      <w:r w:rsidRPr="006F7B9D">
        <w:rPr>
          <w:lang w:val="en-US"/>
        </w:rPr>
        <w:t>frequency group” term shall not be defined in specification</w:t>
      </w:r>
    </w:p>
    <w:p w14:paraId="5948C759" w14:textId="77777777" w:rsidR="006F7B9D" w:rsidRPr="006F7B9D" w:rsidRDefault="006F7B9D" w:rsidP="006F7B9D">
      <w:pPr>
        <w:pStyle w:val="ListParagraph"/>
        <w:numPr>
          <w:ilvl w:val="0"/>
          <w:numId w:val="8"/>
        </w:numPr>
      </w:pPr>
      <w:r w:rsidRPr="006F7B9D">
        <w:rPr>
          <w:lang w:val="en-US"/>
        </w:rPr>
        <w:t>on applicability of CBM/IBM requirements</w:t>
      </w:r>
    </w:p>
    <w:p w14:paraId="58149818" w14:textId="77777777" w:rsidR="006F7B9D" w:rsidRPr="006F7B9D" w:rsidRDefault="006F7B9D" w:rsidP="006F7B9D">
      <w:pPr>
        <w:pStyle w:val="ListParagraph"/>
        <w:numPr>
          <w:ilvl w:val="1"/>
          <w:numId w:val="8"/>
        </w:numPr>
      </w:pPr>
      <w:r w:rsidRPr="006F7B9D">
        <w:rPr>
          <w:lang w:val="en-US"/>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p>
    <w:p w14:paraId="291BA6BD" w14:textId="77777777" w:rsidR="006F7B9D" w:rsidRPr="006F7B9D" w:rsidRDefault="006F7B9D" w:rsidP="006F7B9D">
      <w:pPr>
        <w:pStyle w:val="ListParagraph"/>
        <w:numPr>
          <w:ilvl w:val="0"/>
          <w:numId w:val="8"/>
        </w:numPr>
      </w:pPr>
      <w:r w:rsidRPr="006F7B9D">
        <w:rPr>
          <w:lang w:val="en-US"/>
        </w:rPr>
        <w:t>on applicability of CBM/IBM capability</w:t>
      </w:r>
    </w:p>
    <w:p w14:paraId="24D86838" w14:textId="77777777" w:rsidR="006F7B9D" w:rsidRPr="006F7B9D" w:rsidRDefault="006F7B9D" w:rsidP="006F7B9D">
      <w:pPr>
        <w:pStyle w:val="ListParagraph"/>
        <w:numPr>
          <w:ilvl w:val="1"/>
          <w:numId w:val="8"/>
        </w:numPr>
      </w:pPr>
      <w:r w:rsidRPr="006F7B9D">
        <w:rPr>
          <w:lang w:val="en-US"/>
        </w:rPr>
        <w:t>Detailed approach to justify applicability of CBM capability is TBD. Further discuss approaches including F</w:t>
      </w:r>
      <w:r w:rsidRPr="006F7B9D">
        <w:rPr>
          <w:vertAlign w:val="subscript"/>
          <w:lang w:val="en-US"/>
        </w:rPr>
        <w:t>s,inter</w:t>
      </w:r>
      <w:r w:rsidRPr="006F7B9D">
        <w:rPr>
          <w:lang w:val="en-US"/>
        </w:rPr>
        <w:t xml:space="preserve"> parameter in next meeting.</w:t>
      </w:r>
    </w:p>
    <w:p w14:paraId="56674CAE" w14:textId="6E3AEF31" w:rsidR="00F35373" w:rsidRDefault="00E8700B" w:rsidP="00586669">
      <w:pPr>
        <w:pStyle w:val="ListParagraph"/>
        <w:numPr>
          <w:ilvl w:val="0"/>
          <w:numId w:val="8"/>
        </w:numPr>
        <w:rPr>
          <w:lang w:val="en-US"/>
        </w:rPr>
      </w:pPr>
      <w:r w:rsidRPr="00E8700B">
        <w:rPr>
          <w:lang w:val="en-US"/>
        </w:rPr>
        <w:t>Further study whether and/or how frequency separation class is introduced for inter-band CA based on CBM and IBM</w:t>
      </w:r>
    </w:p>
    <w:p w14:paraId="65F715F2" w14:textId="54C17A24" w:rsidR="00812827" w:rsidRDefault="00812827" w:rsidP="00812827">
      <w:pPr>
        <w:rPr>
          <w:b/>
          <w:bCs/>
          <w:lang w:val="en-US"/>
        </w:rPr>
      </w:pPr>
      <w:r w:rsidRPr="00812827">
        <w:rPr>
          <w:b/>
          <w:bCs/>
          <w:lang w:val="en-US"/>
        </w:rPr>
        <w:t>R4-2016917</w:t>
      </w:r>
      <w:r w:rsidRPr="00812827">
        <w:rPr>
          <w:b/>
          <w:bCs/>
          <w:lang w:val="en-US"/>
        </w:rPr>
        <w:tab/>
        <w:t>WF on UE requirements for CA configurations within the same frequency group based on CBM</w:t>
      </w:r>
    </w:p>
    <w:p w14:paraId="1D779E2F" w14:textId="728492A3" w:rsidR="00812827" w:rsidRDefault="00974FF1" w:rsidP="00974FF1">
      <w:pPr>
        <w:pStyle w:val="ListParagraph"/>
        <w:numPr>
          <w:ilvl w:val="0"/>
          <w:numId w:val="14"/>
        </w:numPr>
        <w:rPr>
          <w:lang w:val="en-US"/>
        </w:rPr>
      </w:pPr>
      <w:r w:rsidRPr="00974FF1">
        <w:rPr>
          <w:lang w:val="en-US"/>
        </w:rPr>
        <w:t>WF on UE requirements for CA configurations within the same frequency group based on CBM</w:t>
      </w:r>
    </w:p>
    <w:p w14:paraId="202F6477" w14:textId="4A3A82BC" w:rsidR="00CC1173" w:rsidRPr="00CC1173" w:rsidRDefault="00CC1173" w:rsidP="00CC1173">
      <w:pPr>
        <w:pStyle w:val="ListParagraph"/>
        <w:numPr>
          <w:ilvl w:val="1"/>
          <w:numId w:val="14"/>
        </w:numPr>
        <w:rPr>
          <w:lang w:val="en-US"/>
        </w:rPr>
      </w:pPr>
      <w:r w:rsidRPr="00CC1173">
        <w:rPr>
          <w:lang w:val="en-US"/>
        </w:rPr>
        <w:t>Whether Spherical coverage requirement is defined for FR2 inter-band CA CBM band pairs FFS</w:t>
      </w:r>
    </w:p>
    <w:p w14:paraId="62FA79F7" w14:textId="552DEF83" w:rsidR="00974FF1" w:rsidRPr="00974FF1" w:rsidRDefault="00CC1173" w:rsidP="00CC1173">
      <w:pPr>
        <w:pStyle w:val="ListParagraph"/>
        <w:numPr>
          <w:ilvl w:val="1"/>
          <w:numId w:val="14"/>
        </w:numPr>
        <w:rPr>
          <w:lang w:val="en-US"/>
        </w:rPr>
      </w:pPr>
      <w:r w:rsidRPr="00CC1173">
        <w:rPr>
          <w:lang w:val="en-US"/>
        </w:rPr>
        <w:t>For FR2 inter-band CA define at least peak EIS requirement for CBM band pair for inter-band DL CA</w:t>
      </w:r>
    </w:p>
    <w:p w14:paraId="4E1D3A34" w14:textId="526868BF" w:rsidR="00B97703" w:rsidRDefault="002F1940" w:rsidP="000F6242">
      <w:pPr>
        <w:pStyle w:val="Heading1"/>
      </w:pPr>
      <w:r>
        <w:t>2</w:t>
      </w:r>
      <w:r>
        <w:tab/>
      </w:r>
      <w:r w:rsidR="00AA7654">
        <w:t>Discussion</w:t>
      </w:r>
    </w:p>
    <w:p w14:paraId="4B592F4E" w14:textId="709C6CAF" w:rsidR="007910A7" w:rsidRDefault="007910A7" w:rsidP="007910A7">
      <w:pPr>
        <w:pStyle w:val="Heading2"/>
      </w:pPr>
      <w:r>
        <w:t>2.1</w:t>
      </w:r>
      <w:r>
        <w:tab/>
        <w:t>Current requirements</w:t>
      </w:r>
    </w:p>
    <w:p w14:paraId="0A874294" w14:textId="1E2BE1F7" w:rsidR="00DF68AB" w:rsidRPr="00DF68AB" w:rsidRDefault="00DF68AB" w:rsidP="00DF68AB">
      <w:r>
        <w:t xml:space="preserve">In Rel-16 following requirements were defined for </w:t>
      </w:r>
      <w:r w:rsidRPr="00DF68AB">
        <w:t>CA_n260-n261</w:t>
      </w:r>
      <w:r w:rsidR="00BE3822">
        <w:t xml:space="preserve"> based on IBM</w:t>
      </w:r>
      <w:r>
        <w:t>.</w:t>
      </w:r>
    </w:p>
    <w:p w14:paraId="0EA76DE1" w14:textId="77777777" w:rsidR="00DF68AB" w:rsidRPr="00C04A08" w:rsidRDefault="00DF68AB" w:rsidP="00DF68AB">
      <w:pPr>
        <w:pStyle w:val="Heading3"/>
      </w:pPr>
      <w:bookmarkStart w:id="4" w:name="_Toc21340951"/>
      <w:bookmarkStart w:id="5" w:name="_Toc29805399"/>
      <w:bookmarkStart w:id="6" w:name="_Toc36456608"/>
      <w:bookmarkStart w:id="7" w:name="_Toc36469706"/>
      <w:bookmarkStart w:id="8" w:name="_Toc37254115"/>
      <w:bookmarkStart w:id="9" w:name="_Toc37322974"/>
      <w:bookmarkStart w:id="10" w:name="_Toc37324380"/>
      <w:bookmarkStart w:id="11" w:name="_Toc45889903"/>
      <w:bookmarkStart w:id="12" w:name="_Toc52196578"/>
      <w:bookmarkStart w:id="13" w:name="_Toc52197558"/>
      <w:bookmarkStart w:id="14" w:name="_Toc53173281"/>
      <w:bookmarkStart w:id="15" w:name="_Toc53173650"/>
      <w:r w:rsidRPr="00C04A08">
        <w:lastRenderedPageBreak/>
        <w:t>7.3A.2</w:t>
      </w:r>
      <w:r w:rsidRPr="00C04A08">
        <w:tab/>
        <w:t>Reference sensitivity power level for CA</w:t>
      </w:r>
      <w:bookmarkEnd w:id="4"/>
      <w:bookmarkEnd w:id="5"/>
      <w:bookmarkEnd w:id="6"/>
      <w:bookmarkEnd w:id="7"/>
      <w:bookmarkEnd w:id="8"/>
      <w:bookmarkEnd w:id="9"/>
      <w:bookmarkEnd w:id="10"/>
      <w:bookmarkEnd w:id="11"/>
      <w:bookmarkEnd w:id="12"/>
      <w:bookmarkEnd w:id="13"/>
      <w:bookmarkEnd w:id="14"/>
      <w:bookmarkEnd w:id="15"/>
    </w:p>
    <w:p w14:paraId="2C62C056" w14:textId="77777777" w:rsidR="00DF68AB" w:rsidRPr="00C04A08" w:rsidRDefault="00DF68AB" w:rsidP="00DF68AB">
      <w:pPr>
        <w:pStyle w:val="Heading4"/>
        <w:rPr>
          <w:rFonts w:eastAsia="Malgun Gothic"/>
        </w:rPr>
      </w:pPr>
      <w:bookmarkStart w:id="16" w:name="_Toc52196580"/>
      <w:bookmarkStart w:id="17" w:name="_Toc52197560"/>
      <w:bookmarkStart w:id="18" w:name="_Toc53173283"/>
      <w:bookmarkStart w:id="19" w:name="_Toc53173652"/>
      <w:r w:rsidRPr="00C04A08">
        <w:rPr>
          <w:rFonts w:eastAsia="Malgun Gothic"/>
        </w:rPr>
        <w:t>7.3A.2.3</w:t>
      </w:r>
      <w:r w:rsidRPr="00C04A08">
        <w:rPr>
          <w:rFonts w:eastAsia="Malgun Gothic"/>
        </w:rPr>
        <w:tab/>
        <w:t>Inter-band CA</w:t>
      </w:r>
      <w:bookmarkEnd w:id="16"/>
      <w:bookmarkEnd w:id="17"/>
      <w:bookmarkEnd w:id="18"/>
      <w:bookmarkEnd w:id="19"/>
    </w:p>
    <w:p w14:paraId="637978A9" w14:textId="192F5E95" w:rsidR="00DF68AB" w:rsidRPr="00C04A08" w:rsidRDefault="00DF68AB" w:rsidP="00DF68AB">
      <w:r w:rsidRPr="0002061C">
        <w:rPr>
          <w:highlight w:val="yellow"/>
        </w:rPr>
        <w:t>The inter-band requirement applies for all active component carriers.</w:t>
      </w:r>
      <w:r w:rsidRPr="00C04A08">
        <w:t xml:space="preserve">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7.3A.2.3-1. </w:t>
      </w:r>
      <w:r w:rsidRPr="0002061C">
        <w:rPr>
          <w:highlight w:val="yellow"/>
        </w:rPr>
        <w:t>The requirement on each component carrier shall be met when the power in the component carrier in the other band is set to its EIS spherical coverage requirement for inter-band CA specified in sub-clause 7.3A.3.3.</w:t>
      </w:r>
    </w:p>
    <w:p w14:paraId="4616C7EE" w14:textId="77777777" w:rsidR="00DF68AB" w:rsidRPr="00C04A08" w:rsidRDefault="00DF68AB" w:rsidP="00DF68AB">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7300DBCF" w14:textId="77777777" w:rsidR="00DF68AB" w:rsidRPr="0002061C" w:rsidRDefault="00DF68AB" w:rsidP="00DF68AB">
      <w:pPr>
        <w:pStyle w:val="TH"/>
        <w:rPr>
          <w:highlight w:val="yellow"/>
        </w:rPr>
      </w:pPr>
      <w:bookmarkStart w:id="20" w:name="_Hlk31890999"/>
      <w:r w:rsidRPr="0002061C">
        <w:rPr>
          <w:highlight w:val="yellow"/>
        </w:rPr>
        <w:t>Table 7.3A.2.3-1</w:t>
      </w:r>
      <w:bookmarkEnd w:id="20"/>
      <w:r w:rsidRPr="0002061C">
        <w:rPr>
          <w:highlight w:val="yellow"/>
        </w:rPr>
        <w:t>: ΔR</w:t>
      </w:r>
      <w:r w:rsidRPr="0002061C">
        <w:rPr>
          <w:highlight w:val="yellow"/>
          <w:vertAlign w:val="subscript"/>
        </w:rPr>
        <w:t>IB</w:t>
      </w:r>
      <w:r w:rsidRPr="0002061C">
        <w:rPr>
          <w:highlight w:val="yellow"/>
        </w:rP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DF68AB" w:rsidRPr="0002061C" w14:paraId="60B88713" w14:textId="77777777" w:rsidTr="00375DEA">
        <w:trPr>
          <w:jc w:val="center"/>
        </w:trPr>
        <w:tc>
          <w:tcPr>
            <w:tcW w:w="2605" w:type="dxa"/>
            <w:vAlign w:val="center"/>
          </w:tcPr>
          <w:p w14:paraId="02FD990D" w14:textId="77777777" w:rsidR="00DF68AB" w:rsidRPr="0002061C" w:rsidRDefault="00DF68AB" w:rsidP="00375DEA">
            <w:pPr>
              <w:keepNext/>
              <w:keepLines/>
              <w:spacing w:after="0"/>
              <w:jc w:val="center"/>
              <w:rPr>
                <w:rFonts w:ascii="Arial" w:eastAsia="Malgun Gothic" w:hAnsi="Arial"/>
                <w:b/>
                <w:sz w:val="18"/>
                <w:highlight w:val="yellow"/>
              </w:rPr>
            </w:pPr>
            <w:r w:rsidRPr="0002061C">
              <w:rPr>
                <w:rFonts w:ascii="Arial" w:eastAsia="Malgun Gothic" w:hAnsi="Arial"/>
                <w:b/>
                <w:sz w:val="18"/>
                <w:highlight w:val="yellow"/>
              </w:rPr>
              <w:t>NR CA bands</w:t>
            </w:r>
          </w:p>
        </w:tc>
        <w:tc>
          <w:tcPr>
            <w:tcW w:w="2250" w:type="dxa"/>
          </w:tcPr>
          <w:p w14:paraId="55E53D25" w14:textId="77777777" w:rsidR="00DF68AB" w:rsidRPr="0002061C" w:rsidRDefault="00DF68AB" w:rsidP="00375DEA">
            <w:pPr>
              <w:keepNext/>
              <w:keepLines/>
              <w:spacing w:after="0"/>
              <w:jc w:val="center"/>
              <w:rPr>
                <w:rFonts w:ascii="Arial" w:eastAsia="Malgun Gothic" w:hAnsi="Arial"/>
                <w:b/>
                <w:sz w:val="18"/>
                <w:highlight w:val="yellow"/>
              </w:rPr>
            </w:pPr>
            <w:r w:rsidRPr="0002061C">
              <w:rPr>
                <w:rFonts w:ascii="Arial" w:eastAsia="Malgun Gothic" w:hAnsi="Arial"/>
                <w:b/>
                <w:sz w:val="18"/>
                <w:highlight w:val="yellow"/>
              </w:rPr>
              <w:t>NR band</w:t>
            </w:r>
          </w:p>
        </w:tc>
        <w:tc>
          <w:tcPr>
            <w:tcW w:w="1890" w:type="dxa"/>
            <w:shd w:val="clear" w:color="auto" w:fill="auto"/>
            <w:vAlign w:val="center"/>
          </w:tcPr>
          <w:p w14:paraId="5667A1D7" w14:textId="77777777" w:rsidR="00DF68AB" w:rsidRPr="0002061C" w:rsidRDefault="00DF68AB" w:rsidP="00375DEA">
            <w:pPr>
              <w:keepNext/>
              <w:keepLines/>
              <w:spacing w:after="0"/>
              <w:jc w:val="center"/>
              <w:rPr>
                <w:rFonts w:ascii="Arial" w:eastAsia="Malgun Gothic" w:hAnsi="Arial"/>
                <w:b/>
                <w:sz w:val="18"/>
                <w:highlight w:val="yellow"/>
              </w:rPr>
            </w:pPr>
            <w:r w:rsidRPr="0002061C">
              <w:rPr>
                <w:rFonts w:ascii="Arial" w:eastAsia="Malgun Gothic" w:hAnsi="Arial"/>
                <w:b/>
                <w:sz w:val="18"/>
                <w:highlight w:val="yellow"/>
              </w:rPr>
              <w:t>ΔR</w:t>
            </w:r>
            <w:r w:rsidRPr="0002061C">
              <w:rPr>
                <w:rFonts w:ascii="Arial" w:eastAsia="Malgun Gothic" w:hAnsi="Arial"/>
                <w:b/>
                <w:sz w:val="18"/>
                <w:highlight w:val="yellow"/>
                <w:vertAlign w:val="subscript"/>
              </w:rPr>
              <w:t>IB,P,n</w:t>
            </w:r>
            <w:r w:rsidRPr="0002061C">
              <w:rPr>
                <w:rFonts w:ascii="Arial" w:eastAsia="Malgun Gothic" w:hAnsi="Arial"/>
                <w:b/>
                <w:sz w:val="18"/>
                <w:highlight w:val="yellow"/>
              </w:rPr>
              <w:t xml:space="preserve"> (dB)</w:t>
            </w:r>
          </w:p>
        </w:tc>
      </w:tr>
      <w:tr w:rsidR="00DF68AB" w:rsidRPr="0002061C" w14:paraId="27CC0A86" w14:textId="77777777" w:rsidTr="00375DEA">
        <w:trPr>
          <w:jc w:val="center"/>
        </w:trPr>
        <w:tc>
          <w:tcPr>
            <w:tcW w:w="2605" w:type="dxa"/>
            <w:vMerge w:val="restart"/>
            <w:vAlign w:val="center"/>
          </w:tcPr>
          <w:p w14:paraId="2222D92B" w14:textId="77777777" w:rsidR="00DF68AB" w:rsidRPr="0002061C" w:rsidRDefault="00DF68AB" w:rsidP="00375DEA">
            <w:pPr>
              <w:keepNext/>
              <w:keepLines/>
              <w:spacing w:after="0"/>
              <w:jc w:val="center"/>
              <w:rPr>
                <w:rFonts w:ascii="Arial" w:eastAsia="Malgun Gothic" w:hAnsi="Arial"/>
                <w:bCs/>
                <w:sz w:val="18"/>
                <w:highlight w:val="yellow"/>
              </w:rPr>
            </w:pPr>
            <w:r w:rsidRPr="0002061C">
              <w:rPr>
                <w:rFonts w:ascii="Arial" w:eastAsia="Malgun Gothic" w:hAnsi="Arial"/>
                <w:bCs/>
                <w:sz w:val="18"/>
                <w:highlight w:val="yellow"/>
              </w:rPr>
              <w:t>CA_n260-n261</w:t>
            </w:r>
          </w:p>
        </w:tc>
        <w:tc>
          <w:tcPr>
            <w:tcW w:w="2250" w:type="dxa"/>
          </w:tcPr>
          <w:p w14:paraId="2DF2045D" w14:textId="77777777" w:rsidR="00DF68AB" w:rsidRPr="0002061C" w:rsidRDefault="00DF68AB" w:rsidP="00375DEA">
            <w:pPr>
              <w:keepNext/>
              <w:keepLines/>
              <w:spacing w:after="0"/>
              <w:jc w:val="center"/>
              <w:rPr>
                <w:rFonts w:ascii="Arial" w:eastAsia="Malgun Gothic" w:hAnsi="Arial"/>
                <w:bCs/>
                <w:sz w:val="18"/>
                <w:highlight w:val="yellow"/>
              </w:rPr>
            </w:pPr>
            <w:r w:rsidRPr="0002061C">
              <w:rPr>
                <w:rFonts w:ascii="Arial" w:eastAsia="Malgun Gothic" w:hAnsi="Arial"/>
                <w:bCs/>
                <w:sz w:val="18"/>
                <w:highlight w:val="yellow"/>
              </w:rPr>
              <w:t>n260</w:t>
            </w:r>
          </w:p>
        </w:tc>
        <w:tc>
          <w:tcPr>
            <w:tcW w:w="1890" w:type="dxa"/>
            <w:shd w:val="clear" w:color="auto" w:fill="auto"/>
          </w:tcPr>
          <w:p w14:paraId="389E3109" w14:textId="0E6C8339" w:rsidR="00DF68AB" w:rsidRPr="0002061C" w:rsidRDefault="00DF68AB" w:rsidP="00375DEA">
            <w:pPr>
              <w:keepNext/>
              <w:keepLines/>
              <w:spacing w:after="0"/>
              <w:jc w:val="center"/>
              <w:rPr>
                <w:rFonts w:ascii="Arial" w:eastAsia="Malgun Gothic" w:hAnsi="Arial"/>
                <w:bCs/>
                <w:sz w:val="18"/>
                <w:highlight w:val="yellow"/>
              </w:rPr>
            </w:pPr>
            <w:r w:rsidRPr="0002061C">
              <w:rPr>
                <w:rFonts w:ascii="Arial" w:eastAsia="Malgun Gothic" w:hAnsi="Arial"/>
                <w:bCs/>
                <w:sz w:val="18"/>
                <w:highlight w:val="yellow"/>
              </w:rPr>
              <w:t>3.5</w:t>
            </w:r>
          </w:p>
        </w:tc>
      </w:tr>
      <w:tr w:rsidR="00DF68AB" w:rsidRPr="00C04A08" w14:paraId="7CC099D8" w14:textId="77777777" w:rsidTr="00375DEA">
        <w:trPr>
          <w:jc w:val="center"/>
        </w:trPr>
        <w:tc>
          <w:tcPr>
            <w:tcW w:w="2605" w:type="dxa"/>
            <w:vMerge/>
            <w:vAlign w:val="center"/>
          </w:tcPr>
          <w:p w14:paraId="59BC91DE" w14:textId="77777777" w:rsidR="00DF68AB" w:rsidRPr="0002061C" w:rsidRDefault="00DF68AB" w:rsidP="00375DEA">
            <w:pPr>
              <w:keepNext/>
              <w:keepLines/>
              <w:spacing w:after="0"/>
              <w:jc w:val="center"/>
              <w:rPr>
                <w:rFonts w:ascii="Arial" w:eastAsia="Malgun Gothic" w:hAnsi="Arial"/>
                <w:bCs/>
                <w:sz w:val="18"/>
                <w:highlight w:val="yellow"/>
              </w:rPr>
            </w:pPr>
          </w:p>
        </w:tc>
        <w:tc>
          <w:tcPr>
            <w:tcW w:w="2250" w:type="dxa"/>
          </w:tcPr>
          <w:p w14:paraId="3234CDA9" w14:textId="77777777" w:rsidR="00DF68AB" w:rsidRPr="0002061C" w:rsidRDefault="00DF68AB" w:rsidP="00375DEA">
            <w:pPr>
              <w:keepNext/>
              <w:keepLines/>
              <w:spacing w:after="0"/>
              <w:jc w:val="center"/>
              <w:rPr>
                <w:rFonts w:ascii="Arial" w:eastAsia="Malgun Gothic" w:hAnsi="Arial"/>
                <w:bCs/>
                <w:sz w:val="18"/>
                <w:highlight w:val="yellow"/>
              </w:rPr>
            </w:pPr>
            <w:r w:rsidRPr="0002061C">
              <w:rPr>
                <w:rFonts w:ascii="Arial" w:eastAsia="Malgun Gothic" w:hAnsi="Arial"/>
                <w:bCs/>
                <w:sz w:val="18"/>
                <w:highlight w:val="yellow"/>
              </w:rPr>
              <w:t>n261</w:t>
            </w:r>
          </w:p>
        </w:tc>
        <w:tc>
          <w:tcPr>
            <w:tcW w:w="1890" w:type="dxa"/>
            <w:tcBorders>
              <w:bottom w:val="single" w:sz="4" w:space="0" w:color="auto"/>
            </w:tcBorders>
            <w:shd w:val="clear" w:color="auto" w:fill="auto"/>
          </w:tcPr>
          <w:p w14:paraId="2EC2A855" w14:textId="4498ECE1" w:rsidR="00DF68AB" w:rsidRPr="00C04A08" w:rsidRDefault="00DF68AB" w:rsidP="00375DEA">
            <w:pPr>
              <w:keepNext/>
              <w:keepLines/>
              <w:spacing w:after="0"/>
              <w:jc w:val="center"/>
              <w:rPr>
                <w:rFonts w:ascii="Arial" w:eastAsia="Malgun Gothic" w:hAnsi="Arial"/>
                <w:bCs/>
                <w:sz w:val="18"/>
              </w:rPr>
            </w:pPr>
            <w:r w:rsidRPr="0002061C">
              <w:rPr>
                <w:rFonts w:ascii="Arial" w:eastAsia="Malgun Gothic" w:hAnsi="Arial"/>
                <w:bCs/>
                <w:sz w:val="18"/>
                <w:highlight w:val="yellow"/>
              </w:rPr>
              <w:t>3.5</w:t>
            </w:r>
          </w:p>
        </w:tc>
      </w:tr>
    </w:tbl>
    <w:p w14:paraId="03DAF2ED" w14:textId="77777777" w:rsidR="00DF68AB" w:rsidRPr="00C04A08" w:rsidRDefault="00DF68AB" w:rsidP="00DF68AB"/>
    <w:p w14:paraId="01A62087" w14:textId="77777777" w:rsidR="00DF68AB" w:rsidRPr="00C04A08" w:rsidRDefault="00DF68AB" w:rsidP="00DF68AB">
      <w:pPr>
        <w:pStyle w:val="Heading3"/>
      </w:pPr>
      <w:bookmarkStart w:id="21" w:name="_Toc52196581"/>
      <w:bookmarkStart w:id="22" w:name="_Toc52197561"/>
      <w:bookmarkStart w:id="23" w:name="_Toc53173284"/>
      <w:bookmarkStart w:id="24" w:name="_Toc53173653"/>
      <w:r w:rsidRPr="00C04A08">
        <w:t>7.3A.3</w:t>
      </w:r>
      <w:r w:rsidRPr="00C04A08">
        <w:tab/>
        <w:t>EIS spherical coverage for DL CA</w:t>
      </w:r>
      <w:bookmarkEnd w:id="21"/>
      <w:bookmarkEnd w:id="22"/>
      <w:bookmarkEnd w:id="23"/>
      <w:bookmarkEnd w:id="24"/>
    </w:p>
    <w:p w14:paraId="5D3A97E2" w14:textId="77777777" w:rsidR="00DF68AB" w:rsidRPr="00C04A08" w:rsidRDefault="00DF68AB" w:rsidP="00DF68AB">
      <w:pPr>
        <w:pStyle w:val="Heading4"/>
        <w:rPr>
          <w:lang w:val="en-US"/>
        </w:rPr>
      </w:pPr>
      <w:bookmarkStart w:id="25" w:name="_Toc52196582"/>
      <w:bookmarkStart w:id="26" w:name="_Toc52197562"/>
      <w:bookmarkStart w:id="27" w:name="_Toc53173285"/>
      <w:bookmarkStart w:id="28" w:name="_Toc53173654"/>
      <w:r w:rsidRPr="00C04A08">
        <w:rPr>
          <w:lang w:val="en-US"/>
        </w:rPr>
        <w:t>7.3A.3.1</w:t>
      </w:r>
      <w:r w:rsidRPr="00C04A08">
        <w:rPr>
          <w:lang w:val="en-US"/>
        </w:rPr>
        <w:tab/>
        <w:t>Void</w:t>
      </w:r>
      <w:bookmarkEnd w:id="25"/>
      <w:bookmarkEnd w:id="26"/>
      <w:bookmarkEnd w:id="27"/>
      <w:bookmarkEnd w:id="28"/>
    </w:p>
    <w:p w14:paraId="2BE1A5D3" w14:textId="77777777" w:rsidR="00DF68AB" w:rsidRPr="00C04A08" w:rsidRDefault="00DF68AB" w:rsidP="00DF68AB">
      <w:pPr>
        <w:pStyle w:val="Heading4"/>
        <w:rPr>
          <w:lang w:val="en-US"/>
        </w:rPr>
      </w:pPr>
      <w:bookmarkStart w:id="29" w:name="_Toc52196583"/>
      <w:bookmarkStart w:id="30" w:name="_Toc52197563"/>
      <w:bookmarkStart w:id="31" w:name="_Toc53173286"/>
      <w:bookmarkStart w:id="32" w:name="_Toc53173655"/>
      <w:r w:rsidRPr="00C04A08">
        <w:rPr>
          <w:lang w:val="en-US"/>
        </w:rPr>
        <w:t>7.3A.3.2</w:t>
      </w:r>
      <w:r w:rsidRPr="00C04A08">
        <w:rPr>
          <w:lang w:val="en-US"/>
        </w:rPr>
        <w:tab/>
        <w:t>Void</w:t>
      </w:r>
      <w:bookmarkEnd w:id="29"/>
      <w:bookmarkEnd w:id="30"/>
      <w:bookmarkEnd w:id="31"/>
      <w:bookmarkEnd w:id="32"/>
    </w:p>
    <w:p w14:paraId="66831DEF" w14:textId="77777777" w:rsidR="00470A62" w:rsidRPr="00C04A08" w:rsidRDefault="00470A62" w:rsidP="00470A62">
      <w:pPr>
        <w:pStyle w:val="Heading4"/>
      </w:pPr>
      <w:bookmarkStart w:id="33" w:name="_Toc52196584"/>
      <w:bookmarkStart w:id="34" w:name="_Toc52197564"/>
      <w:bookmarkStart w:id="35" w:name="_Toc53173287"/>
      <w:bookmarkStart w:id="36" w:name="_Toc53173656"/>
      <w:r w:rsidRPr="00C04A08">
        <w:rPr>
          <w:lang w:val="en-US"/>
        </w:rPr>
        <w:t xml:space="preserve">7.3A.3.3  </w:t>
      </w:r>
      <w:r w:rsidRPr="00C04A08">
        <w:rPr>
          <w:lang w:val="en-US"/>
        </w:rPr>
        <w:tab/>
      </w:r>
      <w:r w:rsidRPr="00C04A08">
        <w:t>EIS spherical coverage for inter-band CA</w:t>
      </w:r>
      <w:bookmarkEnd w:id="33"/>
      <w:bookmarkEnd w:id="34"/>
      <w:bookmarkEnd w:id="35"/>
      <w:bookmarkEnd w:id="36"/>
    </w:p>
    <w:p w14:paraId="4F2057C7" w14:textId="77777777" w:rsidR="00470A62" w:rsidRDefault="00470A62" w:rsidP="00470A62">
      <w:r w:rsidRPr="00470A62">
        <w:rPr>
          <w:highlight w:val="yellow"/>
        </w:rPr>
        <w:t>The inter-band CA requirement applies per operating band, for all active component carriers</w:t>
      </w:r>
      <w:r w:rsidRPr="00C04A08">
        <w:t xml:space="preserve"> with UL assigned to one band and one DL component carrier per band. </w:t>
      </w:r>
      <w:r w:rsidRPr="00470A62">
        <w:rPr>
          <w:highlight w:val="yellow"/>
        </w:rPr>
        <w:t>The requirement on each component carrier shall be met when the power in the component carrier in the other band is set to its EIS spherical coverage requirement</w:t>
      </w:r>
      <w:r w:rsidRPr="00C04A08">
        <w:t xml:space="preserve"> for inter-band CA specified in this sub-clause.</w:t>
      </w:r>
    </w:p>
    <w:p w14:paraId="26D45419" w14:textId="77777777" w:rsidR="00470A62" w:rsidRPr="003B7D3A" w:rsidRDefault="00470A62" w:rsidP="00470A62">
      <w:pPr>
        <w:spacing w:after="0"/>
        <w:rPr>
          <w:rFonts w:eastAsia="Malgun Gothic"/>
        </w:rPr>
      </w:pPr>
      <w:r w:rsidRPr="00470A62">
        <w:rPr>
          <w:rFonts w:eastAsia="Malgun Gothic"/>
          <w:highlight w:val="yellow"/>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w:t>
      </w:r>
      <w:r>
        <w:rPr>
          <w:rFonts w:eastAsia="Malgun Gothic"/>
        </w:rPr>
        <w:t xml:space="preserve"> </w:t>
      </w:r>
      <w:r w:rsidRPr="00470A62">
        <w:rPr>
          <w:rFonts w:eastAsia="Malgun Gothic"/>
          <w:highlight w:val="yellow"/>
        </w:rPr>
        <w:t>The common coverage requirement is determined as &lt;100-percentile rank&gt; %, where ‘percentile rank’ is the percentile value in the specification of spherical coverage for that power class from clause 7.3.4.</w:t>
      </w:r>
    </w:p>
    <w:p w14:paraId="3AAAFEA7" w14:textId="77777777" w:rsidR="00470A62" w:rsidRPr="00C04A08" w:rsidRDefault="00470A62" w:rsidP="00470A62">
      <w:pPr>
        <w:rPr>
          <w:rFonts w:eastAsia="Malgun Gothic"/>
        </w:rPr>
      </w:pPr>
      <w:r w:rsidRPr="00C04A08">
        <w:rPr>
          <w:rFonts w:eastAsia="Malgun Gothic"/>
        </w:rPr>
        <w:t>The requirement is verified with the test metric of EIS (Link=Beam peak search grids, Meas=Link angle).</w:t>
      </w:r>
    </w:p>
    <w:p w14:paraId="4CF80FA7" w14:textId="77777777" w:rsidR="00470A62" w:rsidRPr="00C04A08" w:rsidRDefault="00470A62" w:rsidP="00470A62">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637D6257" w14:textId="77777777" w:rsidR="00470A62" w:rsidRPr="00C04A08" w:rsidRDefault="00470A62" w:rsidP="00470A62">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5C329A4A" w14:textId="77777777" w:rsidR="00470A62" w:rsidRPr="00C04A08" w:rsidRDefault="00470A62" w:rsidP="00470A62">
      <w:pPr>
        <w:rPr>
          <w:rFonts w:eastAsia="Malgun Gothic"/>
        </w:rPr>
      </w:pPr>
      <w:r w:rsidRPr="00470A62">
        <w:rPr>
          <w:rFonts w:eastAsia="Malgun Gothic"/>
          <w:highlight w:val="yellow"/>
        </w:rPr>
        <w:t xml:space="preserve">The required spherical coverage EIS for each band in inter-band CA operation is given in clause 7.3.4 and modified by </w:t>
      </w:r>
      <w:bookmarkStart w:id="37" w:name="_Hlk59095902"/>
      <w:r w:rsidRPr="00470A62">
        <w:rPr>
          <w:rFonts w:eastAsia="Malgun Gothic"/>
          <w:highlight w:val="yellow"/>
        </w:rPr>
        <w:t>ΔR</w:t>
      </w:r>
      <w:r w:rsidRPr="00470A62">
        <w:rPr>
          <w:rFonts w:eastAsia="Malgun Gothic"/>
          <w:highlight w:val="yellow"/>
          <w:vertAlign w:val="subscript"/>
        </w:rPr>
        <w:t>IB,S,n</w:t>
      </w:r>
      <w:bookmarkEnd w:id="37"/>
      <w:r w:rsidRPr="00470A62">
        <w:rPr>
          <w:rFonts w:eastAsia="Malgun Gothic"/>
          <w:highlight w:val="yellow"/>
        </w:rPr>
        <w:t>.</w:t>
      </w:r>
      <w:r w:rsidRPr="00C04A08">
        <w:rPr>
          <w:rFonts w:eastAsia="Malgun Gothic"/>
        </w:rPr>
        <w:t xml:space="preserve"> The value of ∆R</w:t>
      </w:r>
      <w:r w:rsidRPr="00C04A08">
        <w:rPr>
          <w:rFonts w:eastAsia="Malgun Gothic"/>
          <w:vertAlign w:val="subscript"/>
        </w:rPr>
        <w:t>IB,S,n</w:t>
      </w:r>
      <w:r w:rsidRPr="00C04A08">
        <w:rPr>
          <w:rFonts w:eastAsia="Malgun Gothic"/>
        </w:rPr>
        <w:t xml:space="preserve"> is defined in Table 7.3A.3.3-1.</w:t>
      </w:r>
    </w:p>
    <w:p w14:paraId="1C55FE4C" w14:textId="77777777" w:rsidR="00470A62" w:rsidRPr="00C04A08" w:rsidRDefault="00470A62" w:rsidP="00470A62">
      <w:pPr>
        <w:pStyle w:val="TH"/>
      </w:pPr>
      <w:r w:rsidRPr="00C04A08">
        <w:t>Table 7.3A.3.3-1: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70A62" w:rsidRPr="00C04A08" w14:paraId="63806E86" w14:textId="77777777" w:rsidTr="00375DEA">
        <w:trPr>
          <w:jc w:val="center"/>
        </w:trPr>
        <w:tc>
          <w:tcPr>
            <w:tcW w:w="2605" w:type="dxa"/>
            <w:vAlign w:val="center"/>
          </w:tcPr>
          <w:p w14:paraId="2A09754A" w14:textId="77777777" w:rsidR="00470A62" w:rsidRPr="00C04A08" w:rsidRDefault="00470A62" w:rsidP="00375DEA">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7E55CE4" w14:textId="77777777" w:rsidR="00470A62" w:rsidRPr="00C04A08" w:rsidRDefault="00470A62" w:rsidP="00375DEA">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45297BD5" w14:textId="77777777" w:rsidR="00470A62" w:rsidRPr="00C04A08" w:rsidRDefault="00470A62" w:rsidP="00375DEA">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470A62" w:rsidRPr="00C04A08" w14:paraId="7635C85F" w14:textId="77777777" w:rsidTr="00375DEA">
        <w:trPr>
          <w:jc w:val="center"/>
        </w:trPr>
        <w:tc>
          <w:tcPr>
            <w:tcW w:w="2605" w:type="dxa"/>
            <w:vMerge w:val="restart"/>
            <w:vAlign w:val="center"/>
          </w:tcPr>
          <w:p w14:paraId="511CE3D8" w14:textId="77777777" w:rsidR="00470A62" w:rsidRPr="00C04A08" w:rsidRDefault="00470A62" w:rsidP="00375DEA">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5C5DB527" w14:textId="77777777" w:rsidR="00470A62" w:rsidRPr="00C04A08" w:rsidRDefault="00470A62" w:rsidP="00375DEA">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11FB7149" w14:textId="77777777" w:rsidR="00470A62" w:rsidRPr="00C04A08" w:rsidRDefault="00470A62" w:rsidP="00375DEA">
            <w:pPr>
              <w:keepNext/>
              <w:keepLines/>
              <w:spacing w:after="0"/>
              <w:jc w:val="center"/>
              <w:rPr>
                <w:rFonts w:ascii="Arial" w:eastAsia="Malgun Gothic" w:hAnsi="Arial"/>
                <w:bCs/>
                <w:sz w:val="18"/>
              </w:rPr>
            </w:pPr>
            <w:r w:rsidRPr="00C04A08">
              <w:rPr>
                <w:rFonts w:ascii="Arial" w:eastAsia="Malgun Gothic" w:hAnsi="Arial"/>
                <w:bCs/>
                <w:sz w:val="18"/>
              </w:rPr>
              <w:t>[3.5]</w:t>
            </w:r>
          </w:p>
        </w:tc>
      </w:tr>
      <w:tr w:rsidR="00470A62" w:rsidRPr="00C04A08" w14:paraId="3453B6CA" w14:textId="77777777" w:rsidTr="00375DEA">
        <w:trPr>
          <w:jc w:val="center"/>
        </w:trPr>
        <w:tc>
          <w:tcPr>
            <w:tcW w:w="2605" w:type="dxa"/>
            <w:vMerge/>
            <w:vAlign w:val="center"/>
          </w:tcPr>
          <w:p w14:paraId="0854CFF6" w14:textId="77777777" w:rsidR="00470A62" w:rsidRPr="00C04A08" w:rsidRDefault="00470A62" w:rsidP="00375DEA">
            <w:pPr>
              <w:keepNext/>
              <w:keepLines/>
              <w:spacing w:after="0"/>
              <w:jc w:val="center"/>
              <w:rPr>
                <w:rFonts w:ascii="Arial" w:eastAsia="Malgun Gothic" w:hAnsi="Arial"/>
                <w:bCs/>
                <w:sz w:val="18"/>
              </w:rPr>
            </w:pPr>
          </w:p>
        </w:tc>
        <w:tc>
          <w:tcPr>
            <w:tcW w:w="2250" w:type="dxa"/>
          </w:tcPr>
          <w:p w14:paraId="38BAD620" w14:textId="77777777" w:rsidR="00470A62" w:rsidRPr="00C04A08" w:rsidRDefault="00470A62" w:rsidP="00375DEA">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72B56795" w14:textId="77777777" w:rsidR="00470A62" w:rsidRPr="00C04A08" w:rsidRDefault="00470A62" w:rsidP="00375DEA">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0A98405F" w14:textId="77777777" w:rsidR="00470A62" w:rsidRPr="00C04A08" w:rsidRDefault="00470A62" w:rsidP="00470A62"/>
    <w:p w14:paraId="2840A653" w14:textId="77777777" w:rsidR="00282820" w:rsidRPr="00C04A08" w:rsidRDefault="00282820" w:rsidP="00282820">
      <w:pPr>
        <w:pStyle w:val="Heading3"/>
      </w:pPr>
      <w:bookmarkStart w:id="38" w:name="_Toc21343112"/>
      <w:bookmarkStart w:id="39" w:name="_Toc29770078"/>
      <w:bookmarkStart w:id="40" w:name="_Toc29799577"/>
      <w:bookmarkStart w:id="41" w:name="_Toc37254122"/>
      <w:bookmarkStart w:id="42" w:name="_Toc37322981"/>
      <w:bookmarkStart w:id="43" w:name="_Toc37324387"/>
      <w:bookmarkStart w:id="44" w:name="_Toc45889910"/>
      <w:bookmarkStart w:id="45" w:name="_Toc52196590"/>
      <w:bookmarkStart w:id="46" w:name="_Toc52197570"/>
      <w:bookmarkStart w:id="47" w:name="_Toc53173293"/>
      <w:bookmarkStart w:id="48" w:name="_Toc53173662"/>
      <w:r w:rsidRPr="00C04A08">
        <w:lastRenderedPageBreak/>
        <w:t>7.4A.3</w:t>
      </w:r>
      <w:r w:rsidRPr="00C04A08">
        <w:tab/>
      </w:r>
      <w:bookmarkStart w:id="49" w:name="_Hlk51960226"/>
      <w:bookmarkEnd w:id="38"/>
      <w:bookmarkEnd w:id="39"/>
      <w:bookmarkEnd w:id="40"/>
      <w:bookmarkEnd w:id="41"/>
      <w:bookmarkEnd w:id="42"/>
      <w:bookmarkEnd w:id="43"/>
      <w:bookmarkEnd w:id="44"/>
      <w:r w:rsidRPr="00C04A08">
        <w:t>Maximum input level for Inter-band CA</w:t>
      </w:r>
      <w:bookmarkEnd w:id="45"/>
      <w:bookmarkEnd w:id="46"/>
      <w:bookmarkEnd w:id="47"/>
      <w:bookmarkEnd w:id="48"/>
      <w:bookmarkEnd w:id="49"/>
    </w:p>
    <w:p w14:paraId="53398E7A" w14:textId="77777777" w:rsidR="00282820" w:rsidRPr="00C04A08" w:rsidRDefault="00282820" w:rsidP="00282820">
      <w:r w:rsidRPr="00C04A08">
        <w:t xml:space="preserve">For inter-band carrier aggregation with one component carrier per operating band and the uplink assigned to one NR band, the </w:t>
      </w:r>
      <w:r w:rsidRPr="00282820">
        <w:rPr>
          <w:highlight w:val="yellow"/>
        </w:rPr>
        <w:t>maximum input level is defined with the uplink active on the band other than the band whose downlink is being tested.</w:t>
      </w:r>
      <w:r w:rsidRPr="00C04A08">
        <w:t xml:space="preserve"> </w:t>
      </w:r>
      <w:r w:rsidRPr="00282820">
        <w:rPr>
          <w:highlight w:val="yellow"/>
        </w:rPr>
        <w:t>The UE shall meet the requirements specified in clause 7.4 for each component carrier while all downlink carriers are active.</w:t>
      </w:r>
    </w:p>
    <w:p w14:paraId="1F456573" w14:textId="77777777" w:rsidR="00282820" w:rsidRPr="00C04A08" w:rsidRDefault="00282820" w:rsidP="00282820">
      <w:pPr>
        <w:pStyle w:val="Heading3"/>
      </w:pPr>
      <w:bookmarkStart w:id="50" w:name="_Toc37322986"/>
      <w:bookmarkStart w:id="51" w:name="_Toc37324392"/>
      <w:bookmarkStart w:id="52" w:name="_Toc45889916"/>
      <w:bookmarkStart w:id="53" w:name="_Toc52196596"/>
      <w:bookmarkStart w:id="54" w:name="_Toc52197576"/>
      <w:bookmarkStart w:id="55" w:name="_Toc53173299"/>
      <w:bookmarkStart w:id="56" w:name="_Toc53173668"/>
      <w:r w:rsidRPr="00C04A08">
        <w:t>7.5A.3</w:t>
      </w:r>
      <w:r w:rsidRPr="00C04A08">
        <w:tab/>
        <w:t>Adjacent channel selectivity for Inter-band CA</w:t>
      </w:r>
      <w:bookmarkEnd w:id="50"/>
      <w:bookmarkEnd w:id="51"/>
      <w:bookmarkEnd w:id="52"/>
      <w:bookmarkEnd w:id="53"/>
      <w:bookmarkEnd w:id="54"/>
      <w:bookmarkEnd w:id="55"/>
      <w:bookmarkEnd w:id="56"/>
    </w:p>
    <w:p w14:paraId="4451BE99" w14:textId="77777777" w:rsidR="00282820" w:rsidRPr="00C04A08" w:rsidRDefault="00282820" w:rsidP="00282820">
      <w:r w:rsidRPr="00C04A08">
        <w:t xml:space="preserve">For inter-band carrier aggregation with one component carrier per operating band and the uplink assigned to one NR band, </w:t>
      </w:r>
      <w:r w:rsidRPr="007910A7">
        <w:rPr>
          <w:highlight w:val="yellow"/>
        </w:rPr>
        <w:t>the adjacent channel requirements are defined with the uplink active on the band other than the band whose downlink is being tested. The UE shall meet the requirements specified in clause 7.5 for each component carrier while all downlink carriers are active.</w:t>
      </w:r>
    </w:p>
    <w:p w14:paraId="5ED5E7FB" w14:textId="77777777" w:rsidR="00282820" w:rsidRPr="00C04A08" w:rsidRDefault="00282820" w:rsidP="00282820">
      <w:pPr>
        <w:pStyle w:val="Heading4"/>
      </w:pPr>
      <w:bookmarkStart w:id="57" w:name="_Toc37254138"/>
      <w:bookmarkStart w:id="58" w:name="_Toc37322996"/>
      <w:bookmarkStart w:id="59" w:name="_Toc37324402"/>
      <w:bookmarkStart w:id="60" w:name="_Toc45889926"/>
      <w:bookmarkStart w:id="61" w:name="_Toc52196606"/>
      <w:bookmarkStart w:id="62" w:name="_Toc52197586"/>
      <w:bookmarkStart w:id="63" w:name="_Toc53173309"/>
      <w:bookmarkStart w:id="64" w:name="_Toc53173678"/>
      <w:r w:rsidRPr="00C04A08">
        <w:t>7.6A.2.3</w:t>
      </w:r>
      <w:r w:rsidRPr="00C04A08">
        <w:tab/>
        <w:t>In-band blocking for Inter-band CA</w:t>
      </w:r>
      <w:bookmarkEnd w:id="57"/>
      <w:bookmarkEnd w:id="58"/>
      <w:bookmarkEnd w:id="59"/>
      <w:bookmarkEnd w:id="60"/>
      <w:bookmarkEnd w:id="61"/>
      <w:bookmarkEnd w:id="62"/>
      <w:bookmarkEnd w:id="63"/>
      <w:bookmarkEnd w:id="64"/>
    </w:p>
    <w:p w14:paraId="4F316744" w14:textId="77777777" w:rsidR="00282820" w:rsidRPr="00C04A08" w:rsidRDefault="00282820" w:rsidP="00282820">
      <w:pPr>
        <w:rPr>
          <w:rFonts w:eastAsia="Malgun Gothic"/>
        </w:rPr>
      </w:pPr>
      <w:r w:rsidRPr="00C04A08">
        <w:t xml:space="preserve">For inter-band carrier aggregation with one component carrier per operating band and the uplink assigned to one NR band, </w:t>
      </w:r>
      <w:r w:rsidRPr="007910A7">
        <w:rPr>
          <w:highlight w:val="yellow"/>
        </w:rPr>
        <w:t>the in-band blocking requirements are defined with the uplink active on the band other than the band whose downlink is being tested. The UE shall meet the requirements specified in clause 7.6.2 for each component carrier while all downlink carriers are active.</w:t>
      </w:r>
    </w:p>
    <w:p w14:paraId="585D55B1" w14:textId="3C4ECA33" w:rsidR="00DF68AB" w:rsidRDefault="007910A7" w:rsidP="007910A7">
      <w:pPr>
        <w:pStyle w:val="Heading2"/>
      </w:pPr>
      <w:r>
        <w:t>2.2</w:t>
      </w:r>
      <w:r>
        <w:tab/>
        <w:t xml:space="preserve">How to set requirements for </w:t>
      </w:r>
      <w:r w:rsidR="00E8047D">
        <w:t>CBM UE</w:t>
      </w:r>
    </w:p>
    <w:p w14:paraId="5956F931" w14:textId="13D8B0D8" w:rsidR="007910A7" w:rsidRDefault="00003D7B" w:rsidP="007910A7">
      <w:r>
        <w:t xml:space="preserve">Maximum input level, ACS and in-band blocking requirements are all defined in similar manner where the uplink is in the other band than the band which is tested. With this condition single band requirements apply. We do not see a need to have amendments for these cases due to </w:t>
      </w:r>
      <w:r w:rsidR="0002232E">
        <w:t>CBM oper</w:t>
      </w:r>
      <w:r w:rsidR="00AE15D8">
        <w:t>ation</w:t>
      </w:r>
    </w:p>
    <w:p w14:paraId="657A32DC" w14:textId="416B76C4" w:rsidR="00003D7B" w:rsidRDefault="00AE15D8" w:rsidP="007910A7">
      <w:pPr>
        <w:rPr>
          <w:b/>
          <w:bCs/>
        </w:rPr>
      </w:pPr>
      <w:r>
        <w:rPr>
          <w:b/>
          <w:bCs/>
        </w:rPr>
        <w:t>Observation 1</w:t>
      </w:r>
      <w:r w:rsidR="00003D7B" w:rsidRPr="00003D7B">
        <w:rPr>
          <w:b/>
          <w:bCs/>
        </w:rPr>
        <w:t xml:space="preserve">: </w:t>
      </w:r>
      <w:r w:rsidR="00003D7B">
        <w:rPr>
          <w:b/>
          <w:bCs/>
        </w:rPr>
        <w:t xml:space="preserve">Current maximum input level </w:t>
      </w:r>
      <w:r w:rsidR="00003D7B" w:rsidRPr="00003D7B">
        <w:rPr>
          <w:b/>
          <w:bCs/>
        </w:rPr>
        <w:t>7.4A.3</w:t>
      </w:r>
      <w:r w:rsidR="00003D7B">
        <w:rPr>
          <w:b/>
          <w:bCs/>
        </w:rPr>
        <w:t xml:space="preserve">, ACS </w:t>
      </w:r>
      <w:r w:rsidR="00003D7B" w:rsidRPr="00003D7B">
        <w:rPr>
          <w:b/>
          <w:bCs/>
        </w:rPr>
        <w:t>7.5A.3</w:t>
      </w:r>
      <w:r w:rsidR="00003D7B">
        <w:rPr>
          <w:b/>
          <w:bCs/>
        </w:rPr>
        <w:t xml:space="preserve"> and in-band blocking </w:t>
      </w:r>
      <w:r w:rsidR="00003D7B" w:rsidRPr="00003D7B">
        <w:rPr>
          <w:b/>
          <w:bCs/>
        </w:rPr>
        <w:t>7.6A.2.3</w:t>
      </w:r>
      <w:r w:rsidR="00003D7B">
        <w:rPr>
          <w:b/>
          <w:bCs/>
        </w:rPr>
        <w:t xml:space="preserve"> requirements can be re-used for </w:t>
      </w:r>
      <w:r>
        <w:rPr>
          <w:b/>
          <w:bCs/>
        </w:rPr>
        <w:t>CBM UE</w:t>
      </w:r>
      <w:r w:rsidR="00F94048">
        <w:rPr>
          <w:b/>
          <w:bCs/>
        </w:rPr>
        <w:t xml:space="preserve">. </w:t>
      </w:r>
    </w:p>
    <w:p w14:paraId="40296061" w14:textId="60ED56F7" w:rsidR="00A138D6" w:rsidRDefault="00A138D6" w:rsidP="007910A7">
      <w:r w:rsidRPr="00A138D6">
        <w:t xml:space="preserve">Reference </w:t>
      </w:r>
      <w:r>
        <w:t xml:space="preserve">sensitivity requirement is defined so that the power level of the other band not being tested is set to the level of </w:t>
      </w:r>
      <w:r w:rsidRPr="00A138D6">
        <w:t xml:space="preserve">EIS spherical coverage requirement </w:t>
      </w:r>
      <w:r>
        <w:t xml:space="preserve">and the band being tested must meet the single band reference sensitivity requirement which is relaxed by an amount of </w:t>
      </w:r>
      <w:r w:rsidRPr="00A138D6">
        <w:t>ΔR</w:t>
      </w:r>
      <w:r w:rsidRPr="00A138D6">
        <w:rPr>
          <w:vertAlign w:val="subscript"/>
        </w:rPr>
        <w:t>IB</w:t>
      </w:r>
      <w:r>
        <w:t xml:space="preserve">. </w:t>
      </w:r>
      <w:r w:rsidR="00B87E60">
        <w:t>In case of CA_n260-n261 this leads to 1</w:t>
      </w:r>
      <w:r w:rsidR="00AC67A6">
        <w:t>4.3</w:t>
      </w:r>
      <w:r w:rsidR="00B87E60">
        <w:t xml:space="preserve"> dB power imbalance between band being tested and the other band being interferer when 50 MHz and 200 MHz channel bandwidths are being considered</w:t>
      </w:r>
      <w:r w:rsidR="00AC67A6">
        <w:t xml:space="preserve"> and to 17.3 dB if optional 400 MHz bandwidth is considered for aggressor</w:t>
      </w:r>
      <w:r w:rsidR="00B87E60">
        <w:t>.</w:t>
      </w:r>
      <w:r w:rsidR="00AC67A6">
        <w:t xml:space="preserve"> </w:t>
      </w:r>
      <w:r w:rsidR="008A0EC3">
        <w:t>It is clear that CBM UE</w:t>
      </w:r>
      <w:r w:rsidR="00A9658E">
        <w:t xml:space="preserve"> is not as capable of handling power imbalance between received carriers as IBM UE is thus some modifications seems to be necessary for CBM UE on how the</w:t>
      </w:r>
      <w:r w:rsidR="003D356F">
        <w:t xml:space="preserve"> reference sensitivity is defined,</w:t>
      </w:r>
    </w:p>
    <w:p w14:paraId="7ED45372" w14:textId="77E9C016" w:rsidR="00F74C53" w:rsidRDefault="003D356F" w:rsidP="007910A7">
      <w:pPr>
        <w:rPr>
          <w:b/>
          <w:bCs/>
        </w:rPr>
      </w:pPr>
      <w:r>
        <w:rPr>
          <w:b/>
          <w:bCs/>
        </w:rPr>
        <w:t>Observation 2</w:t>
      </w:r>
      <w:r w:rsidR="00F74C53" w:rsidRPr="00F74C53">
        <w:rPr>
          <w:b/>
          <w:bCs/>
        </w:rPr>
        <w:t>:</w:t>
      </w:r>
      <w:r w:rsidR="00E326AA">
        <w:rPr>
          <w:b/>
          <w:bCs/>
        </w:rPr>
        <w:t xml:space="preserve"> </w:t>
      </w:r>
      <w:r w:rsidR="006115FB">
        <w:rPr>
          <w:b/>
          <w:bCs/>
        </w:rPr>
        <w:t>Rel-16</w:t>
      </w:r>
      <w:r w:rsidR="00F74C53" w:rsidRPr="00F74C53">
        <w:rPr>
          <w:b/>
          <w:bCs/>
        </w:rPr>
        <w:t xml:space="preserve"> reference sensitivity requirement including power imbalance</w:t>
      </w:r>
      <w:r w:rsidR="00AA497A">
        <w:rPr>
          <w:b/>
          <w:bCs/>
        </w:rPr>
        <w:t xml:space="preserve"> may not be suitable for setting requirements for CBM UE</w:t>
      </w:r>
      <w:r w:rsidR="00F74C53" w:rsidRPr="00F74C53">
        <w:rPr>
          <w:b/>
          <w:bCs/>
        </w:rPr>
        <w:t>.</w:t>
      </w:r>
      <w:r w:rsidR="00AA497A">
        <w:rPr>
          <w:b/>
          <w:bCs/>
        </w:rPr>
        <w:t xml:space="preserve"> It is likely that the power imbalance </w:t>
      </w:r>
      <w:r w:rsidR="00C16155">
        <w:rPr>
          <w:b/>
          <w:bCs/>
        </w:rPr>
        <w:t>needs to be reduced compared to requirements for IBM UE.</w:t>
      </w:r>
    </w:p>
    <w:p w14:paraId="54096DDD" w14:textId="390B11AC" w:rsidR="00516F11" w:rsidRDefault="006A1870" w:rsidP="007910A7">
      <w:r w:rsidRPr="006A1870">
        <w:t>EIS spherical coverage for inter-band CA</w:t>
      </w:r>
      <w:r>
        <w:t xml:space="preserve"> </w:t>
      </w:r>
      <w:r w:rsidR="00EE2A47" w:rsidRPr="00EE2A47">
        <w:t>will be satisfied if the intersection set of spherical coverage areas exceeds the common coverage requirement</w:t>
      </w:r>
      <w:r w:rsidR="00EE2A47">
        <w:t xml:space="preserve"> which is 50% for PC3. </w:t>
      </w:r>
      <w:r w:rsidR="00516F11" w:rsidRPr="00516F11">
        <w:t xml:space="preserve">The requirement on each </w:t>
      </w:r>
      <w:r w:rsidR="00516F11">
        <w:t>band</w:t>
      </w:r>
      <w:r w:rsidR="00516F11" w:rsidRPr="00516F11">
        <w:t xml:space="preserve"> shall be met when the power in the component carrier in the other band is set to its EIS spherical coverage requirement </w:t>
      </w:r>
      <w:r w:rsidR="00516F11">
        <w:t>and t</w:t>
      </w:r>
      <w:r w:rsidR="00516F11" w:rsidRPr="00516F11">
        <w:t>he required spherical coverage EIS for each band</w:t>
      </w:r>
      <w:r w:rsidR="00516F11">
        <w:t xml:space="preserve"> is relaxed</w:t>
      </w:r>
      <w:r w:rsidR="00516F11" w:rsidRPr="00516F11">
        <w:t xml:space="preserve"> by ΔRIB,S,n.</w:t>
      </w:r>
    </w:p>
    <w:p w14:paraId="5258764A" w14:textId="6B2CFB20" w:rsidR="00DB1E50" w:rsidRDefault="00CC1173" w:rsidP="00DB1E50">
      <w:pPr>
        <w:rPr>
          <w:b/>
          <w:bCs/>
        </w:rPr>
      </w:pPr>
      <w:r>
        <w:t xml:space="preserve">Current </w:t>
      </w:r>
      <w:r w:rsidR="00A26DB6">
        <w:t xml:space="preserve">spherical coverage requirement is not suitable for CBM UE as it cannot steer beams independently. In fact in last meeting several companies were in a opinion that it is not necessary to define </w:t>
      </w:r>
      <w:r w:rsidR="00A26DB6" w:rsidRPr="00A26DB6">
        <w:t>EIS spherical coverage requirement</w:t>
      </w:r>
      <w:r w:rsidR="00A26DB6">
        <w:t xml:space="preserve"> for CBM UE</w:t>
      </w:r>
      <w:r w:rsidR="002945D1">
        <w:t xml:space="preserve"> but in the end one company wanted to keep the topic FFS</w:t>
      </w:r>
      <w:r w:rsidR="004A3CF0">
        <w:t xml:space="preserve"> [2]</w:t>
      </w:r>
      <w:r w:rsidR="002945D1">
        <w:t>.</w:t>
      </w:r>
    </w:p>
    <w:p w14:paraId="08C544E0" w14:textId="4C04970F" w:rsidR="00516F11" w:rsidRDefault="002945D1" w:rsidP="00516F11">
      <w:pPr>
        <w:rPr>
          <w:b/>
          <w:bCs/>
        </w:rPr>
      </w:pPr>
      <w:r>
        <w:rPr>
          <w:b/>
          <w:bCs/>
        </w:rPr>
        <w:t>Observation</w:t>
      </w:r>
      <w:r w:rsidR="00516F11" w:rsidRPr="00F74C53">
        <w:rPr>
          <w:b/>
          <w:bCs/>
        </w:rPr>
        <w:t xml:space="preserve"> </w:t>
      </w:r>
      <w:r w:rsidR="00516F11">
        <w:rPr>
          <w:b/>
          <w:bCs/>
        </w:rPr>
        <w:t>3</w:t>
      </w:r>
      <w:r w:rsidR="00516F11" w:rsidRPr="00F74C53">
        <w:rPr>
          <w:b/>
          <w:bCs/>
        </w:rPr>
        <w:t>:</w:t>
      </w:r>
      <w:r w:rsidR="00957F6C">
        <w:rPr>
          <w:b/>
          <w:bCs/>
        </w:rPr>
        <w:t xml:space="preserve"> </w:t>
      </w:r>
      <w:r>
        <w:rPr>
          <w:b/>
          <w:bCs/>
        </w:rPr>
        <w:t xml:space="preserve">In REN4#97 most of the </w:t>
      </w:r>
      <w:r w:rsidR="004A3CF0">
        <w:rPr>
          <w:b/>
          <w:bCs/>
        </w:rPr>
        <w:t>companies were in a</w:t>
      </w:r>
      <w:r w:rsidR="007936FD">
        <w:rPr>
          <w:b/>
          <w:bCs/>
        </w:rPr>
        <w:t>n</w:t>
      </w:r>
      <w:r w:rsidR="004A3CF0">
        <w:rPr>
          <w:b/>
          <w:bCs/>
        </w:rPr>
        <w:t xml:space="preserve"> opinion that </w:t>
      </w:r>
      <w:r w:rsidR="00516F11">
        <w:rPr>
          <w:b/>
          <w:bCs/>
        </w:rPr>
        <w:t>EIS spherical coverage</w:t>
      </w:r>
      <w:r w:rsidR="00516F11" w:rsidRPr="00F74C53">
        <w:rPr>
          <w:b/>
          <w:bCs/>
        </w:rPr>
        <w:t xml:space="preserve"> requirement</w:t>
      </w:r>
      <w:r w:rsidR="004A3CF0">
        <w:rPr>
          <w:b/>
          <w:bCs/>
        </w:rPr>
        <w:t xml:space="preserve"> is not necessary for CBM UE.</w:t>
      </w:r>
    </w:p>
    <w:p w14:paraId="26F1DE0F" w14:textId="7666D875" w:rsidR="004A3CF0" w:rsidRDefault="00A85B29" w:rsidP="00516F11">
      <w:r>
        <w:t>Furthermore,</w:t>
      </w:r>
      <w:r w:rsidR="003751E5">
        <w:t xml:space="preserve"> during previous RAN4 meeting </w:t>
      </w:r>
      <w:r w:rsidR="00931A8B" w:rsidRPr="00931A8B">
        <w:t>peak EIS requirement for CBM band pair</w:t>
      </w:r>
      <w:r w:rsidR="00931A8B">
        <w:t xml:space="preserve"> was discussed and </w:t>
      </w:r>
      <w:r w:rsidR="002F35C7">
        <w:t>it was agreed that f</w:t>
      </w:r>
      <w:r w:rsidR="002F35C7" w:rsidRPr="002F35C7">
        <w:t>or FR2 inter-band CA define at least peak EIS requirement for CBM band pair for inter-band DL CA</w:t>
      </w:r>
      <w:r w:rsidR="002F35C7">
        <w:t xml:space="preserve"> [2]</w:t>
      </w:r>
    </w:p>
    <w:p w14:paraId="2FFCD6D2" w14:textId="628AFFE1" w:rsidR="002F35C7" w:rsidRDefault="00CC278D" w:rsidP="00516F11">
      <w:pPr>
        <w:rPr>
          <w:b/>
          <w:bCs/>
        </w:rPr>
      </w:pPr>
      <w:r>
        <w:rPr>
          <w:b/>
          <w:bCs/>
        </w:rPr>
        <w:t>Observation 4: It was agreed in RAN4#97 that</w:t>
      </w:r>
      <w:r w:rsidRPr="00CC278D">
        <w:rPr>
          <w:b/>
          <w:bCs/>
        </w:rPr>
        <w:t xml:space="preserve"> for FR2 inter-band CA define at least peak EIS requirement for CBM band pair for inter-band DL CA</w:t>
      </w:r>
    </w:p>
    <w:p w14:paraId="098752DA" w14:textId="49C5E913" w:rsidR="00A85B29" w:rsidRDefault="00577F7F" w:rsidP="00516F11">
      <w:r w:rsidRPr="00577F7F">
        <w:t>Similarly</w:t>
      </w:r>
      <w:r>
        <w:t xml:space="preserve"> as for non-contiguous intraband CA there may be a need to have </w:t>
      </w:r>
      <w:r w:rsidR="00E72354">
        <w:t>frequency separation class of</w:t>
      </w:r>
      <w:r w:rsidR="008A0AB1">
        <w:t xml:space="preserve"> capability or some kind of relaxation in case bands/CCs are far apart.</w:t>
      </w:r>
      <w:r w:rsidR="00E71D26">
        <w:t xml:space="preserve"> From network point of view these kind of capabilities are not</w:t>
      </w:r>
      <w:r w:rsidR="00874436">
        <w:t xml:space="preserve"> </w:t>
      </w:r>
      <w:r w:rsidR="00280188">
        <w:t xml:space="preserve">desirable as it makes UE management more complicated but on the other hand </w:t>
      </w:r>
      <w:r w:rsidR="003B3952">
        <w:t>excessive relaxations are not good from system point of view.</w:t>
      </w:r>
    </w:p>
    <w:p w14:paraId="488B57E4" w14:textId="5A4580EB" w:rsidR="00EB6D03" w:rsidRDefault="00EB6D03" w:rsidP="00516F11">
      <w:pPr>
        <w:rPr>
          <w:b/>
          <w:bCs/>
        </w:rPr>
      </w:pPr>
      <w:r>
        <w:rPr>
          <w:b/>
          <w:bCs/>
        </w:rPr>
        <w:lastRenderedPageBreak/>
        <w:t>Observation 5: I</w:t>
      </w:r>
      <w:r w:rsidR="001B766A">
        <w:rPr>
          <w:b/>
          <w:bCs/>
        </w:rPr>
        <w:t>t</w:t>
      </w:r>
      <w:r>
        <w:rPr>
          <w:b/>
          <w:bCs/>
        </w:rPr>
        <w:t xml:space="preserve"> is likely that frequency sepa</w:t>
      </w:r>
      <w:r w:rsidR="001B766A">
        <w:rPr>
          <w:b/>
          <w:bCs/>
        </w:rPr>
        <w:t xml:space="preserve">ration </w:t>
      </w:r>
      <w:r w:rsidR="000754AD">
        <w:rPr>
          <w:b/>
          <w:bCs/>
        </w:rPr>
        <w:t>class t</w:t>
      </w:r>
      <w:r w:rsidR="001B766A">
        <w:rPr>
          <w:b/>
          <w:bCs/>
        </w:rPr>
        <w:t xml:space="preserve">ype of </w:t>
      </w:r>
      <w:r w:rsidR="000754AD">
        <w:rPr>
          <w:b/>
          <w:bCs/>
        </w:rPr>
        <w:t>requirement is needed for CBM UE similarly as for non-contiguous intraband CA.</w:t>
      </w:r>
    </w:p>
    <w:p w14:paraId="4505635A" w14:textId="77777777" w:rsidR="002F1940" w:rsidRDefault="00B97703" w:rsidP="00AA7654">
      <w:pPr>
        <w:pStyle w:val="Heading1"/>
        <w:rPr>
          <w:szCs w:val="36"/>
        </w:rPr>
      </w:pPr>
      <w:r w:rsidRPr="000F6242">
        <w:rPr>
          <w:szCs w:val="36"/>
        </w:rPr>
        <w:t>3</w:t>
      </w:r>
      <w:r w:rsidR="002F1940">
        <w:rPr>
          <w:szCs w:val="36"/>
        </w:rPr>
        <w:tab/>
      </w:r>
      <w:bookmarkStart w:id="65" w:name="OLE_LINK53"/>
      <w:bookmarkStart w:id="66" w:name="OLE_LINK54"/>
      <w:r w:rsidR="00AA7654">
        <w:rPr>
          <w:szCs w:val="36"/>
        </w:rPr>
        <w:t>Conclusion</w:t>
      </w:r>
    </w:p>
    <w:p w14:paraId="0C7272E2" w14:textId="358F50F3" w:rsidR="00AA7654" w:rsidRDefault="00DB1E50" w:rsidP="00AA7654">
      <w:r>
        <w:t xml:space="preserve">In this contribution we have made following </w:t>
      </w:r>
      <w:r w:rsidR="000754AD">
        <w:t>observations</w:t>
      </w:r>
      <w:r>
        <w:t>.</w:t>
      </w:r>
    </w:p>
    <w:p w14:paraId="22EB8619" w14:textId="77777777" w:rsidR="0022222C" w:rsidRDefault="0022222C" w:rsidP="0022222C">
      <w:pPr>
        <w:rPr>
          <w:b/>
          <w:bCs/>
        </w:rPr>
      </w:pPr>
      <w:r>
        <w:rPr>
          <w:b/>
          <w:bCs/>
        </w:rPr>
        <w:t>Observation 1</w:t>
      </w:r>
      <w:r w:rsidRPr="00003D7B">
        <w:rPr>
          <w:b/>
          <w:bCs/>
        </w:rPr>
        <w:t xml:space="preserve">: </w:t>
      </w:r>
      <w:r>
        <w:rPr>
          <w:b/>
          <w:bCs/>
        </w:rPr>
        <w:t xml:space="preserve">Current maximum input level </w:t>
      </w:r>
      <w:r w:rsidRPr="00003D7B">
        <w:rPr>
          <w:b/>
          <w:bCs/>
        </w:rPr>
        <w:t>7.4A.3</w:t>
      </w:r>
      <w:r>
        <w:rPr>
          <w:b/>
          <w:bCs/>
        </w:rPr>
        <w:t xml:space="preserve">, ACS </w:t>
      </w:r>
      <w:r w:rsidRPr="00003D7B">
        <w:rPr>
          <w:b/>
          <w:bCs/>
        </w:rPr>
        <w:t>7.5A.3</w:t>
      </w:r>
      <w:r>
        <w:rPr>
          <w:b/>
          <w:bCs/>
        </w:rPr>
        <w:t xml:space="preserve"> and in-band blocking </w:t>
      </w:r>
      <w:r w:rsidRPr="00003D7B">
        <w:rPr>
          <w:b/>
          <w:bCs/>
        </w:rPr>
        <w:t>7.6A.2.3</w:t>
      </w:r>
      <w:r>
        <w:rPr>
          <w:b/>
          <w:bCs/>
        </w:rPr>
        <w:t xml:space="preserve"> requirements can be re-used for CBM UE. </w:t>
      </w:r>
    </w:p>
    <w:p w14:paraId="2B574ECB" w14:textId="77777777" w:rsidR="0022222C" w:rsidRDefault="0022222C" w:rsidP="0022222C">
      <w:pPr>
        <w:rPr>
          <w:b/>
          <w:bCs/>
        </w:rPr>
      </w:pPr>
      <w:r>
        <w:rPr>
          <w:b/>
          <w:bCs/>
        </w:rPr>
        <w:t>Observation 2</w:t>
      </w:r>
      <w:r w:rsidRPr="00F74C53">
        <w:rPr>
          <w:b/>
          <w:bCs/>
        </w:rPr>
        <w:t>:</w:t>
      </w:r>
      <w:r>
        <w:rPr>
          <w:b/>
          <w:bCs/>
        </w:rPr>
        <w:t xml:space="preserve"> Rel-16</w:t>
      </w:r>
      <w:r w:rsidRPr="00F74C53">
        <w:rPr>
          <w:b/>
          <w:bCs/>
        </w:rPr>
        <w:t xml:space="preserve"> reference sensitivity requirement including power imbalance</w:t>
      </w:r>
      <w:r>
        <w:rPr>
          <w:b/>
          <w:bCs/>
        </w:rPr>
        <w:t xml:space="preserve"> may not be suitable for setting requirements for CBM UE</w:t>
      </w:r>
      <w:r w:rsidRPr="00F74C53">
        <w:rPr>
          <w:b/>
          <w:bCs/>
        </w:rPr>
        <w:t>.</w:t>
      </w:r>
      <w:r>
        <w:rPr>
          <w:b/>
          <w:bCs/>
        </w:rPr>
        <w:t xml:space="preserve"> It is likely that the power imbalance needs to be reduced compared to requirements for IBM UE.</w:t>
      </w:r>
    </w:p>
    <w:p w14:paraId="5BB1D6F5" w14:textId="77777777" w:rsidR="0022222C" w:rsidRDefault="0022222C" w:rsidP="0022222C">
      <w:pPr>
        <w:rPr>
          <w:b/>
          <w:bCs/>
        </w:rPr>
      </w:pPr>
      <w:bookmarkStart w:id="67" w:name="_GoBack"/>
      <w:bookmarkEnd w:id="67"/>
      <w:r>
        <w:rPr>
          <w:b/>
          <w:bCs/>
        </w:rPr>
        <w:t>Observation</w:t>
      </w:r>
      <w:r w:rsidRPr="00F74C53">
        <w:rPr>
          <w:b/>
          <w:bCs/>
        </w:rPr>
        <w:t xml:space="preserve"> </w:t>
      </w:r>
      <w:r>
        <w:rPr>
          <w:b/>
          <w:bCs/>
        </w:rPr>
        <w:t>3</w:t>
      </w:r>
      <w:r w:rsidRPr="00F74C53">
        <w:rPr>
          <w:b/>
          <w:bCs/>
        </w:rPr>
        <w:t>:</w:t>
      </w:r>
      <w:r>
        <w:rPr>
          <w:b/>
          <w:bCs/>
        </w:rPr>
        <w:t xml:space="preserve"> In REN4#97 most of the companies were in an opinion that EIS spherical coverage</w:t>
      </w:r>
      <w:r w:rsidRPr="00F74C53">
        <w:rPr>
          <w:b/>
          <w:bCs/>
        </w:rPr>
        <w:t xml:space="preserve"> requirement</w:t>
      </w:r>
      <w:r>
        <w:rPr>
          <w:b/>
          <w:bCs/>
        </w:rPr>
        <w:t xml:space="preserve"> is not necessary for CBM UE.</w:t>
      </w:r>
    </w:p>
    <w:p w14:paraId="1EFEC6BF" w14:textId="122635DB" w:rsidR="0022222C" w:rsidRDefault="0022222C" w:rsidP="00AA7654">
      <w:r>
        <w:rPr>
          <w:b/>
          <w:bCs/>
        </w:rPr>
        <w:t>Observation 4: It was agreed in RAN4#97 that</w:t>
      </w:r>
      <w:r w:rsidRPr="00CC278D">
        <w:rPr>
          <w:b/>
          <w:bCs/>
        </w:rPr>
        <w:t xml:space="preserve"> for FR2 inter-band CA define at least peak EIS requirement for CBM band pair for inter-band DL CA</w:t>
      </w:r>
    </w:p>
    <w:p w14:paraId="46AD1B45" w14:textId="77777777" w:rsidR="0022222C" w:rsidRDefault="0022222C" w:rsidP="0022222C">
      <w:pPr>
        <w:rPr>
          <w:b/>
          <w:bCs/>
        </w:rPr>
      </w:pPr>
      <w:r>
        <w:rPr>
          <w:b/>
          <w:bCs/>
        </w:rPr>
        <w:t>Observation 5: It is likely that frequency separation class type of requirement is needed for CBM UE similarly as for non-contiguous intraband CA.</w:t>
      </w:r>
    </w:p>
    <w:p w14:paraId="4FEB7888" w14:textId="522EFF9B" w:rsidR="00AA7654" w:rsidRPr="00AA7654" w:rsidRDefault="00AA7654" w:rsidP="00AA7654">
      <w:pPr>
        <w:pStyle w:val="Heading1"/>
      </w:pPr>
      <w:r>
        <w:t xml:space="preserve">4 </w:t>
      </w:r>
      <w:r>
        <w:tab/>
        <w:t>References</w:t>
      </w:r>
    </w:p>
    <w:bookmarkEnd w:id="65"/>
    <w:bookmarkEnd w:id="66"/>
    <w:p w14:paraId="7AC1485C" w14:textId="243CF3D5" w:rsidR="002F1940" w:rsidRDefault="00F35373" w:rsidP="002F1940">
      <w:r>
        <w:t xml:space="preserve">[1] </w:t>
      </w:r>
      <w:r w:rsidRPr="00F35373">
        <w:t>R4-2016915    WF on Applicability of CBM/IBM for different CA</w:t>
      </w:r>
      <w:r>
        <w:tab/>
        <w:t>RAN4#97</w:t>
      </w:r>
      <w:r w:rsidRPr="00F35373">
        <w:t xml:space="preserve">    Samsung</w:t>
      </w:r>
    </w:p>
    <w:p w14:paraId="5162F7D6" w14:textId="3A8F3E79" w:rsidR="00F35373" w:rsidRPr="002F1940" w:rsidRDefault="00F35373" w:rsidP="002F1940">
      <w:r>
        <w:t xml:space="preserve">[2] </w:t>
      </w:r>
      <w:r w:rsidR="00E12473" w:rsidRPr="00E12473">
        <w:t>R4-2016917</w:t>
      </w:r>
      <w:r w:rsidR="00E12473">
        <w:tab/>
      </w:r>
      <w:r w:rsidR="00812827" w:rsidRPr="00812827">
        <w:t>WF on UE requirements for CA configurations within the same frequency group based on CBM</w:t>
      </w:r>
      <w:r w:rsidR="00812827">
        <w:t xml:space="preserve">, </w:t>
      </w:r>
      <w:r w:rsidR="00812827" w:rsidRPr="00812827">
        <w:t>Nokia, Samsung</w:t>
      </w:r>
    </w:p>
    <w:sectPr w:rsidR="00F3537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FF3DF" w14:textId="77777777" w:rsidR="00003CFB" w:rsidRDefault="00003CFB">
      <w:pPr>
        <w:spacing w:after="0"/>
      </w:pPr>
      <w:r>
        <w:separator/>
      </w:r>
    </w:p>
  </w:endnote>
  <w:endnote w:type="continuationSeparator" w:id="0">
    <w:p w14:paraId="29D1E5F9" w14:textId="77777777" w:rsidR="00003CFB" w:rsidRDefault="00003C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D05E5" w14:textId="77777777" w:rsidR="00003CFB" w:rsidRDefault="00003CFB">
      <w:pPr>
        <w:spacing w:after="0"/>
      </w:pPr>
      <w:r>
        <w:separator/>
      </w:r>
    </w:p>
  </w:footnote>
  <w:footnote w:type="continuationSeparator" w:id="0">
    <w:p w14:paraId="689FC777" w14:textId="77777777" w:rsidR="00003CFB" w:rsidRDefault="00003C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2132"/>
    <w:multiLevelType w:val="hybridMultilevel"/>
    <w:tmpl w:val="5CE652E0"/>
    <w:lvl w:ilvl="0" w:tplc="B7E2FD38">
      <w:start w:val="1"/>
      <w:numFmt w:val="bullet"/>
      <w:lvlText w:val="•"/>
      <w:lvlJc w:val="left"/>
      <w:pPr>
        <w:tabs>
          <w:tab w:val="num" w:pos="720"/>
        </w:tabs>
        <w:ind w:left="720" w:hanging="360"/>
      </w:pPr>
      <w:rPr>
        <w:rFonts w:ascii="Arial" w:hAnsi="Arial" w:hint="default"/>
      </w:rPr>
    </w:lvl>
    <w:lvl w:ilvl="1" w:tplc="DB46CC4E">
      <w:start w:val="1"/>
      <w:numFmt w:val="bullet"/>
      <w:lvlText w:val="•"/>
      <w:lvlJc w:val="left"/>
      <w:pPr>
        <w:tabs>
          <w:tab w:val="num" w:pos="1440"/>
        </w:tabs>
        <w:ind w:left="1440" w:hanging="360"/>
      </w:pPr>
      <w:rPr>
        <w:rFonts w:ascii="Arial" w:hAnsi="Arial" w:hint="default"/>
      </w:rPr>
    </w:lvl>
    <w:lvl w:ilvl="2" w:tplc="7F0EC90E" w:tentative="1">
      <w:start w:val="1"/>
      <w:numFmt w:val="bullet"/>
      <w:lvlText w:val="•"/>
      <w:lvlJc w:val="left"/>
      <w:pPr>
        <w:tabs>
          <w:tab w:val="num" w:pos="2160"/>
        </w:tabs>
        <w:ind w:left="2160" w:hanging="360"/>
      </w:pPr>
      <w:rPr>
        <w:rFonts w:ascii="Arial" w:hAnsi="Arial" w:hint="default"/>
      </w:rPr>
    </w:lvl>
    <w:lvl w:ilvl="3" w:tplc="A54E166E" w:tentative="1">
      <w:start w:val="1"/>
      <w:numFmt w:val="bullet"/>
      <w:lvlText w:val="•"/>
      <w:lvlJc w:val="left"/>
      <w:pPr>
        <w:tabs>
          <w:tab w:val="num" w:pos="2880"/>
        </w:tabs>
        <w:ind w:left="2880" w:hanging="360"/>
      </w:pPr>
      <w:rPr>
        <w:rFonts w:ascii="Arial" w:hAnsi="Arial" w:hint="default"/>
      </w:rPr>
    </w:lvl>
    <w:lvl w:ilvl="4" w:tplc="E4B6DE62" w:tentative="1">
      <w:start w:val="1"/>
      <w:numFmt w:val="bullet"/>
      <w:lvlText w:val="•"/>
      <w:lvlJc w:val="left"/>
      <w:pPr>
        <w:tabs>
          <w:tab w:val="num" w:pos="3600"/>
        </w:tabs>
        <w:ind w:left="3600" w:hanging="360"/>
      </w:pPr>
      <w:rPr>
        <w:rFonts w:ascii="Arial" w:hAnsi="Arial" w:hint="default"/>
      </w:rPr>
    </w:lvl>
    <w:lvl w:ilvl="5" w:tplc="E666810E" w:tentative="1">
      <w:start w:val="1"/>
      <w:numFmt w:val="bullet"/>
      <w:lvlText w:val="•"/>
      <w:lvlJc w:val="left"/>
      <w:pPr>
        <w:tabs>
          <w:tab w:val="num" w:pos="4320"/>
        </w:tabs>
        <w:ind w:left="4320" w:hanging="360"/>
      </w:pPr>
      <w:rPr>
        <w:rFonts w:ascii="Arial" w:hAnsi="Arial" w:hint="default"/>
      </w:rPr>
    </w:lvl>
    <w:lvl w:ilvl="6" w:tplc="733EB10A" w:tentative="1">
      <w:start w:val="1"/>
      <w:numFmt w:val="bullet"/>
      <w:lvlText w:val="•"/>
      <w:lvlJc w:val="left"/>
      <w:pPr>
        <w:tabs>
          <w:tab w:val="num" w:pos="5040"/>
        </w:tabs>
        <w:ind w:left="5040" w:hanging="360"/>
      </w:pPr>
      <w:rPr>
        <w:rFonts w:ascii="Arial" w:hAnsi="Arial" w:hint="default"/>
      </w:rPr>
    </w:lvl>
    <w:lvl w:ilvl="7" w:tplc="678AA4CC" w:tentative="1">
      <w:start w:val="1"/>
      <w:numFmt w:val="bullet"/>
      <w:lvlText w:val="•"/>
      <w:lvlJc w:val="left"/>
      <w:pPr>
        <w:tabs>
          <w:tab w:val="num" w:pos="5760"/>
        </w:tabs>
        <w:ind w:left="5760" w:hanging="360"/>
      </w:pPr>
      <w:rPr>
        <w:rFonts w:ascii="Arial" w:hAnsi="Arial" w:hint="default"/>
      </w:rPr>
    </w:lvl>
    <w:lvl w:ilvl="8" w:tplc="A2D2EC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DD7DD0"/>
    <w:multiLevelType w:val="hybridMultilevel"/>
    <w:tmpl w:val="CE46E9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7C31A8C"/>
    <w:multiLevelType w:val="hybridMultilevel"/>
    <w:tmpl w:val="25FC9F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B5C3264"/>
    <w:multiLevelType w:val="hybridMultilevel"/>
    <w:tmpl w:val="E3A0076E"/>
    <w:lvl w:ilvl="0" w:tplc="4D00702C">
      <w:start w:val="1"/>
      <w:numFmt w:val="bullet"/>
      <w:lvlText w:val="•"/>
      <w:lvlJc w:val="left"/>
      <w:pPr>
        <w:tabs>
          <w:tab w:val="num" w:pos="720"/>
        </w:tabs>
        <w:ind w:left="720" w:hanging="360"/>
      </w:pPr>
      <w:rPr>
        <w:rFonts w:ascii="Arial" w:hAnsi="Arial" w:hint="default"/>
      </w:rPr>
    </w:lvl>
    <w:lvl w:ilvl="1" w:tplc="D3E47A6E">
      <w:numFmt w:val="bullet"/>
      <w:lvlText w:val="•"/>
      <w:lvlJc w:val="left"/>
      <w:pPr>
        <w:tabs>
          <w:tab w:val="num" w:pos="1440"/>
        </w:tabs>
        <w:ind w:left="1440" w:hanging="360"/>
      </w:pPr>
      <w:rPr>
        <w:rFonts w:ascii="Arial" w:hAnsi="Arial" w:hint="default"/>
      </w:rPr>
    </w:lvl>
    <w:lvl w:ilvl="2" w:tplc="5EA090C6" w:tentative="1">
      <w:start w:val="1"/>
      <w:numFmt w:val="bullet"/>
      <w:lvlText w:val="•"/>
      <w:lvlJc w:val="left"/>
      <w:pPr>
        <w:tabs>
          <w:tab w:val="num" w:pos="2160"/>
        </w:tabs>
        <w:ind w:left="2160" w:hanging="360"/>
      </w:pPr>
      <w:rPr>
        <w:rFonts w:ascii="Arial" w:hAnsi="Arial" w:hint="default"/>
      </w:rPr>
    </w:lvl>
    <w:lvl w:ilvl="3" w:tplc="8332AF3A" w:tentative="1">
      <w:start w:val="1"/>
      <w:numFmt w:val="bullet"/>
      <w:lvlText w:val="•"/>
      <w:lvlJc w:val="left"/>
      <w:pPr>
        <w:tabs>
          <w:tab w:val="num" w:pos="2880"/>
        </w:tabs>
        <w:ind w:left="2880" w:hanging="360"/>
      </w:pPr>
      <w:rPr>
        <w:rFonts w:ascii="Arial" w:hAnsi="Arial" w:hint="default"/>
      </w:rPr>
    </w:lvl>
    <w:lvl w:ilvl="4" w:tplc="D9F892FE" w:tentative="1">
      <w:start w:val="1"/>
      <w:numFmt w:val="bullet"/>
      <w:lvlText w:val="•"/>
      <w:lvlJc w:val="left"/>
      <w:pPr>
        <w:tabs>
          <w:tab w:val="num" w:pos="3600"/>
        </w:tabs>
        <w:ind w:left="3600" w:hanging="360"/>
      </w:pPr>
      <w:rPr>
        <w:rFonts w:ascii="Arial" w:hAnsi="Arial" w:hint="default"/>
      </w:rPr>
    </w:lvl>
    <w:lvl w:ilvl="5" w:tplc="B7CCBEE0" w:tentative="1">
      <w:start w:val="1"/>
      <w:numFmt w:val="bullet"/>
      <w:lvlText w:val="•"/>
      <w:lvlJc w:val="left"/>
      <w:pPr>
        <w:tabs>
          <w:tab w:val="num" w:pos="4320"/>
        </w:tabs>
        <w:ind w:left="4320" w:hanging="360"/>
      </w:pPr>
      <w:rPr>
        <w:rFonts w:ascii="Arial" w:hAnsi="Arial" w:hint="default"/>
      </w:rPr>
    </w:lvl>
    <w:lvl w:ilvl="6" w:tplc="4898807C" w:tentative="1">
      <w:start w:val="1"/>
      <w:numFmt w:val="bullet"/>
      <w:lvlText w:val="•"/>
      <w:lvlJc w:val="left"/>
      <w:pPr>
        <w:tabs>
          <w:tab w:val="num" w:pos="5040"/>
        </w:tabs>
        <w:ind w:left="5040" w:hanging="360"/>
      </w:pPr>
      <w:rPr>
        <w:rFonts w:ascii="Arial" w:hAnsi="Arial" w:hint="default"/>
      </w:rPr>
    </w:lvl>
    <w:lvl w:ilvl="7" w:tplc="8C7E5DA0" w:tentative="1">
      <w:start w:val="1"/>
      <w:numFmt w:val="bullet"/>
      <w:lvlText w:val="•"/>
      <w:lvlJc w:val="left"/>
      <w:pPr>
        <w:tabs>
          <w:tab w:val="num" w:pos="5760"/>
        </w:tabs>
        <w:ind w:left="5760" w:hanging="360"/>
      </w:pPr>
      <w:rPr>
        <w:rFonts w:ascii="Arial" w:hAnsi="Arial" w:hint="default"/>
      </w:rPr>
    </w:lvl>
    <w:lvl w:ilvl="8" w:tplc="46A458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882F0D"/>
    <w:multiLevelType w:val="hybridMultilevel"/>
    <w:tmpl w:val="83F4955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CA56B13"/>
    <w:multiLevelType w:val="hybridMultilevel"/>
    <w:tmpl w:val="FF9CCF28"/>
    <w:lvl w:ilvl="0" w:tplc="DAAEDCA2">
      <w:start w:val="1"/>
      <w:numFmt w:val="bullet"/>
      <w:lvlText w:val="•"/>
      <w:lvlJc w:val="left"/>
      <w:pPr>
        <w:tabs>
          <w:tab w:val="num" w:pos="720"/>
        </w:tabs>
        <w:ind w:left="720" w:hanging="360"/>
      </w:pPr>
      <w:rPr>
        <w:rFonts w:ascii="Arial" w:hAnsi="Arial" w:hint="default"/>
      </w:rPr>
    </w:lvl>
    <w:lvl w:ilvl="1" w:tplc="AF421B06">
      <w:start w:val="1"/>
      <w:numFmt w:val="bullet"/>
      <w:lvlText w:val="•"/>
      <w:lvlJc w:val="left"/>
      <w:pPr>
        <w:tabs>
          <w:tab w:val="num" w:pos="1440"/>
        </w:tabs>
        <w:ind w:left="1440" w:hanging="360"/>
      </w:pPr>
      <w:rPr>
        <w:rFonts w:ascii="Arial" w:hAnsi="Arial" w:hint="default"/>
      </w:rPr>
    </w:lvl>
    <w:lvl w:ilvl="2" w:tplc="30F0CC5E" w:tentative="1">
      <w:start w:val="1"/>
      <w:numFmt w:val="bullet"/>
      <w:lvlText w:val="•"/>
      <w:lvlJc w:val="left"/>
      <w:pPr>
        <w:tabs>
          <w:tab w:val="num" w:pos="2160"/>
        </w:tabs>
        <w:ind w:left="2160" w:hanging="360"/>
      </w:pPr>
      <w:rPr>
        <w:rFonts w:ascii="Arial" w:hAnsi="Arial" w:hint="default"/>
      </w:rPr>
    </w:lvl>
    <w:lvl w:ilvl="3" w:tplc="EB023430" w:tentative="1">
      <w:start w:val="1"/>
      <w:numFmt w:val="bullet"/>
      <w:lvlText w:val="•"/>
      <w:lvlJc w:val="left"/>
      <w:pPr>
        <w:tabs>
          <w:tab w:val="num" w:pos="2880"/>
        </w:tabs>
        <w:ind w:left="2880" w:hanging="360"/>
      </w:pPr>
      <w:rPr>
        <w:rFonts w:ascii="Arial" w:hAnsi="Arial" w:hint="default"/>
      </w:rPr>
    </w:lvl>
    <w:lvl w:ilvl="4" w:tplc="7D84B750" w:tentative="1">
      <w:start w:val="1"/>
      <w:numFmt w:val="bullet"/>
      <w:lvlText w:val="•"/>
      <w:lvlJc w:val="left"/>
      <w:pPr>
        <w:tabs>
          <w:tab w:val="num" w:pos="3600"/>
        </w:tabs>
        <w:ind w:left="3600" w:hanging="360"/>
      </w:pPr>
      <w:rPr>
        <w:rFonts w:ascii="Arial" w:hAnsi="Arial" w:hint="default"/>
      </w:rPr>
    </w:lvl>
    <w:lvl w:ilvl="5" w:tplc="03BA5F8C" w:tentative="1">
      <w:start w:val="1"/>
      <w:numFmt w:val="bullet"/>
      <w:lvlText w:val="•"/>
      <w:lvlJc w:val="left"/>
      <w:pPr>
        <w:tabs>
          <w:tab w:val="num" w:pos="4320"/>
        </w:tabs>
        <w:ind w:left="4320" w:hanging="360"/>
      </w:pPr>
      <w:rPr>
        <w:rFonts w:ascii="Arial" w:hAnsi="Arial" w:hint="default"/>
      </w:rPr>
    </w:lvl>
    <w:lvl w:ilvl="6" w:tplc="E35615E0" w:tentative="1">
      <w:start w:val="1"/>
      <w:numFmt w:val="bullet"/>
      <w:lvlText w:val="•"/>
      <w:lvlJc w:val="left"/>
      <w:pPr>
        <w:tabs>
          <w:tab w:val="num" w:pos="5040"/>
        </w:tabs>
        <w:ind w:left="5040" w:hanging="360"/>
      </w:pPr>
      <w:rPr>
        <w:rFonts w:ascii="Arial" w:hAnsi="Arial" w:hint="default"/>
      </w:rPr>
    </w:lvl>
    <w:lvl w:ilvl="7" w:tplc="7CAC3E0C" w:tentative="1">
      <w:start w:val="1"/>
      <w:numFmt w:val="bullet"/>
      <w:lvlText w:val="•"/>
      <w:lvlJc w:val="left"/>
      <w:pPr>
        <w:tabs>
          <w:tab w:val="num" w:pos="5760"/>
        </w:tabs>
        <w:ind w:left="5760" w:hanging="360"/>
      </w:pPr>
      <w:rPr>
        <w:rFonts w:ascii="Arial" w:hAnsi="Arial" w:hint="default"/>
      </w:rPr>
    </w:lvl>
    <w:lvl w:ilvl="8" w:tplc="ABEC0F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70012D"/>
    <w:multiLevelType w:val="hybridMultilevel"/>
    <w:tmpl w:val="07F46E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C51EC7"/>
    <w:multiLevelType w:val="hybridMultilevel"/>
    <w:tmpl w:val="F2EAA21C"/>
    <w:lvl w:ilvl="0" w:tplc="74DEE5FE">
      <w:start w:val="1"/>
      <w:numFmt w:val="bullet"/>
      <w:lvlText w:val="•"/>
      <w:lvlJc w:val="left"/>
      <w:pPr>
        <w:tabs>
          <w:tab w:val="num" w:pos="720"/>
        </w:tabs>
        <w:ind w:left="720" w:hanging="360"/>
      </w:pPr>
      <w:rPr>
        <w:rFonts w:ascii="Arial" w:hAnsi="Arial" w:hint="default"/>
      </w:rPr>
    </w:lvl>
    <w:lvl w:ilvl="1" w:tplc="D48A5E6E">
      <w:start w:val="1"/>
      <w:numFmt w:val="bullet"/>
      <w:lvlText w:val="•"/>
      <w:lvlJc w:val="left"/>
      <w:pPr>
        <w:tabs>
          <w:tab w:val="num" w:pos="1440"/>
        </w:tabs>
        <w:ind w:left="1440" w:hanging="360"/>
      </w:pPr>
      <w:rPr>
        <w:rFonts w:ascii="Arial" w:hAnsi="Arial" w:hint="default"/>
      </w:rPr>
    </w:lvl>
    <w:lvl w:ilvl="2" w:tplc="21B8E28A">
      <w:numFmt w:val="bullet"/>
      <w:lvlText w:val="•"/>
      <w:lvlJc w:val="left"/>
      <w:pPr>
        <w:tabs>
          <w:tab w:val="num" w:pos="2160"/>
        </w:tabs>
        <w:ind w:left="2160" w:hanging="360"/>
      </w:pPr>
      <w:rPr>
        <w:rFonts w:ascii="Arial" w:hAnsi="Arial" w:hint="default"/>
      </w:rPr>
    </w:lvl>
    <w:lvl w:ilvl="3" w:tplc="441A0148" w:tentative="1">
      <w:start w:val="1"/>
      <w:numFmt w:val="bullet"/>
      <w:lvlText w:val="•"/>
      <w:lvlJc w:val="left"/>
      <w:pPr>
        <w:tabs>
          <w:tab w:val="num" w:pos="2880"/>
        </w:tabs>
        <w:ind w:left="2880" w:hanging="360"/>
      </w:pPr>
      <w:rPr>
        <w:rFonts w:ascii="Arial" w:hAnsi="Arial" w:hint="default"/>
      </w:rPr>
    </w:lvl>
    <w:lvl w:ilvl="4" w:tplc="73BA2358" w:tentative="1">
      <w:start w:val="1"/>
      <w:numFmt w:val="bullet"/>
      <w:lvlText w:val="•"/>
      <w:lvlJc w:val="left"/>
      <w:pPr>
        <w:tabs>
          <w:tab w:val="num" w:pos="3600"/>
        </w:tabs>
        <w:ind w:left="3600" w:hanging="360"/>
      </w:pPr>
      <w:rPr>
        <w:rFonts w:ascii="Arial" w:hAnsi="Arial" w:hint="default"/>
      </w:rPr>
    </w:lvl>
    <w:lvl w:ilvl="5" w:tplc="2B4E975E" w:tentative="1">
      <w:start w:val="1"/>
      <w:numFmt w:val="bullet"/>
      <w:lvlText w:val="•"/>
      <w:lvlJc w:val="left"/>
      <w:pPr>
        <w:tabs>
          <w:tab w:val="num" w:pos="4320"/>
        </w:tabs>
        <w:ind w:left="4320" w:hanging="360"/>
      </w:pPr>
      <w:rPr>
        <w:rFonts w:ascii="Arial" w:hAnsi="Arial" w:hint="default"/>
      </w:rPr>
    </w:lvl>
    <w:lvl w:ilvl="6" w:tplc="830007C2" w:tentative="1">
      <w:start w:val="1"/>
      <w:numFmt w:val="bullet"/>
      <w:lvlText w:val="•"/>
      <w:lvlJc w:val="left"/>
      <w:pPr>
        <w:tabs>
          <w:tab w:val="num" w:pos="5040"/>
        </w:tabs>
        <w:ind w:left="5040" w:hanging="360"/>
      </w:pPr>
      <w:rPr>
        <w:rFonts w:ascii="Arial" w:hAnsi="Arial" w:hint="default"/>
      </w:rPr>
    </w:lvl>
    <w:lvl w:ilvl="7" w:tplc="099C1546" w:tentative="1">
      <w:start w:val="1"/>
      <w:numFmt w:val="bullet"/>
      <w:lvlText w:val="•"/>
      <w:lvlJc w:val="left"/>
      <w:pPr>
        <w:tabs>
          <w:tab w:val="num" w:pos="5760"/>
        </w:tabs>
        <w:ind w:left="5760" w:hanging="360"/>
      </w:pPr>
      <w:rPr>
        <w:rFonts w:ascii="Arial" w:hAnsi="Arial" w:hint="default"/>
      </w:rPr>
    </w:lvl>
    <w:lvl w:ilvl="8" w:tplc="81761A5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8"/>
  </w:num>
  <w:num w:numId="3">
    <w:abstractNumId w:val="7"/>
  </w:num>
  <w:num w:numId="4">
    <w:abstractNumId w:val="3"/>
  </w:num>
  <w:num w:numId="5">
    <w:abstractNumId w:val="6"/>
  </w:num>
  <w:num w:numId="6">
    <w:abstractNumId w:val="2"/>
  </w:num>
  <w:num w:numId="7">
    <w:abstractNumId w:val="11"/>
  </w:num>
  <w:num w:numId="8">
    <w:abstractNumId w:val="9"/>
  </w:num>
  <w:num w:numId="9">
    <w:abstractNumId w:val="10"/>
  </w:num>
  <w:num w:numId="10">
    <w:abstractNumId w:val="13"/>
  </w:num>
  <w:num w:numId="11">
    <w:abstractNumId w:val="0"/>
  </w:num>
  <w:num w:numId="12">
    <w:abstractNumId w:val="1"/>
  </w:num>
  <w:num w:numId="13">
    <w:abstractNumId w:val="5"/>
  </w:num>
  <w:num w:numId="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CFB"/>
    <w:rsid w:val="00003D7B"/>
    <w:rsid w:val="00017F23"/>
    <w:rsid w:val="0002061C"/>
    <w:rsid w:val="0002232E"/>
    <w:rsid w:val="0005100E"/>
    <w:rsid w:val="000754AD"/>
    <w:rsid w:val="00083D4C"/>
    <w:rsid w:val="00097E6A"/>
    <w:rsid w:val="000D64DA"/>
    <w:rsid w:val="000F293E"/>
    <w:rsid w:val="000F6242"/>
    <w:rsid w:val="00145F43"/>
    <w:rsid w:val="001B766A"/>
    <w:rsid w:val="0022222C"/>
    <w:rsid w:val="002256B7"/>
    <w:rsid w:val="00245706"/>
    <w:rsid w:val="00280188"/>
    <w:rsid w:val="00282820"/>
    <w:rsid w:val="002945D1"/>
    <w:rsid w:val="002F1940"/>
    <w:rsid w:val="002F35C7"/>
    <w:rsid w:val="00322F82"/>
    <w:rsid w:val="00330EDF"/>
    <w:rsid w:val="00335D84"/>
    <w:rsid w:val="00335F01"/>
    <w:rsid w:val="0037077B"/>
    <w:rsid w:val="003751E5"/>
    <w:rsid w:val="00383545"/>
    <w:rsid w:val="003B3952"/>
    <w:rsid w:val="003D356F"/>
    <w:rsid w:val="00433500"/>
    <w:rsid w:val="00433F71"/>
    <w:rsid w:val="00440D43"/>
    <w:rsid w:val="00470A62"/>
    <w:rsid w:val="004866C4"/>
    <w:rsid w:val="004A2963"/>
    <w:rsid w:val="004A3CF0"/>
    <w:rsid w:val="004E3939"/>
    <w:rsid w:val="00505543"/>
    <w:rsid w:val="00516F11"/>
    <w:rsid w:val="005577FD"/>
    <w:rsid w:val="00577F7F"/>
    <w:rsid w:val="005B22E2"/>
    <w:rsid w:val="006115FB"/>
    <w:rsid w:val="006162E0"/>
    <w:rsid w:val="00616CC1"/>
    <w:rsid w:val="00687B49"/>
    <w:rsid w:val="006A1870"/>
    <w:rsid w:val="006A54D5"/>
    <w:rsid w:val="006F7B9D"/>
    <w:rsid w:val="00763CC3"/>
    <w:rsid w:val="00775EC5"/>
    <w:rsid w:val="007850E1"/>
    <w:rsid w:val="007910A7"/>
    <w:rsid w:val="007936FD"/>
    <w:rsid w:val="007B2FB8"/>
    <w:rsid w:val="007E069C"/>
    <w:rsid w:val="007F4F92"/>
    <w:rsid w:val="00812827"/>
    <w:rsid w:val="00874436"/>
    <w:rsid w:val="008A0AB1"/>
    <w:rsid w:val="008A0EC3"/>
    <w:rsid w:val="008D772F"/>
    <w:rsid w:val="00931A8B"/>
    <w:rsid w:val="00951280"/>
    <w:rsid w:val="00957F6C"/>
    <w:rsid w:val="009665A4"/>
    <w:rsid w:val="00974FF1"/>
    <w:rsid w:val="00990F72"/>
    <w:rsid w:val="0099764C"/>
    <w:rsid w:val="009B5B2A"/>
    <w:rsid w:val="00A138D6"/>
    <w:rsid w:val="00A26DB6"/>
    <w:rsid w:val="00A74629"/>
    <w:rsid w:val="00A85B29"/>
    <w:rsid w:val="00A9658E"/>
    <w:rsid w:val="00AA497A"/>
    <w:rsid w:val="00AA7654"/>
    <w:rsid w:val="00AC67A6"/>
    <w:rsid w:val="00AD79A1"/>
    <w:rsid w:val="00AE15D8"/>
    <w:rsid w:val="00B56B9A"/>
    <w:rsid w:val="00B66A7B"/>
    <w:rsid w:val="00B87E60"/>
    <w:rsid w:val="00B97703"/>
    <w:rsid w:val="00BE3822"/>
    <w:rsid w:val="00C16155"/>
    <w:rsid w:val="00C42EB7"/>
    <w:rsid w:val="00CC1173"/>
    <w:rsid w:val="00CC278D"/>
    <w:rsid w:val="00CD6C60"/>
    <w:rsid w:val="00CF6087"/>
    <w:rsid w:val="00D27D6D"/>
    <w:rsid w:val="00D4385C"/>
    <w:rsid w:val="00D55F7A"/>
    <w:rsid w:val="00DB1E50"/>
    <w:rsid w:val="00DF68AB"/>
    <w:rsid w:val="00E12473"/>
    <w:rsid w:val="00E326AA"/>
    <w:rsid w:val="00E46562"/>
    <w:rsid w:val="00E71D26"/>
    <w:rsid w:val="00E72354"/>
    <w:rsid w:val="00E8047D"/>
    <w:rsid w:val="00E8700B"/>
    <w:rsid w:val="00EB6D03"/>
    <w:rsid w:val="00EB719D"/>
    <w:rsid w:val="00EE2A47"/>
    <w:rsid w:val="00F17B25"/>
    <w:rsid w:val="00F35373"/>
    <w:rsid w:val="00F42B43"/>
    <w:rsid w:val="00F46F3C"/>
    <w:rsid w:val="00F6297A"/>
    <w:rsid w:val="00F74C53"/>
    <w:rsid w:val="00F81761"/>
    <w:rsid w:val="00F940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uiPriority w:val="34"/>
    <w:qFormat/>
    <w:rsid w:val="00CD6C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368318">
      <w:bodyDiv w:val="1"/>
      <w:marLeft w:val="0"/>
      <w:marRight w:val="0"/>
      <w:marTop w:val="0"/>
      <w:marBottom w:val="0"/>
      <w:divBdr>
        <w:top w:val="none" w:sz="0" w:space="0" w:color="auto"/>
        <w:left w:val="none" w:sz="0" w:space="0" w:color="auto"/>
        <w:bottom w:val="none" w:sz="0" w:space="0" w:color="auto"/>
        <w:right w:val="none" w:sz="0" w:space="0" w:color="auto"/>
      </w:divBdr>
      <w:divsChild>
        <w:div w:id="840007046">
          <w:marLeft w:val="1080"/>
          <w:marRight w:val="0"/>
          <w:marTop w:val="100"/>
          <w:marBottom w:val="0"/>
          <w:divBdr>
            <w:top w:val="none" w:sz="0" w:space="0" w:color="auto"/>
            <w:left w:val="none" w:sz="0" w:space="0" w:color="auto"/>
            <w:bottom w:val="none" w:sz="0" w:space="0" w:color="auto"/>
            <w:right w:val="none" w:sz="0" w:space="0" w:color="auto"/>
          </w:divBdr>
        </w:div>
        <w:div w:id="1389494953">
          <w:marLeft w:val="1800"/>
          <w:marRight w:val="0"/>
          <w:marTop w:val="100"/>
          <w:marBottom w:val="0"/>
          <w:divBdr>
            <w:top w:val="none" w:sz="0" w:space="0" w:color="auto"/>
            <w:left w:val="none" w:sz="0" w:space="0" w:color="auto"/>
            <w:bottom w:val="none" w:sz="0" w:space="0" w:color="auto"/>
            <w:right w:val="none" w:sz="0" w:space="0" w:color="auto"/>
          </w:divBdr>
        </w:div>
        <w:div w:id="2008511871">
          <w:marLeft w:val="1080"/>
          <w:marRight w:val="0"/>
          <w:marTop w:val="100"/>
          <w:marBottom w:val="0"/>
          <w:divBdr>
            <w:top w:val="none" w:sz="0" w:space="0" w:color="auto"/>
            <w:left w:val="none" w:sz="0" w:space="0" w:color="auto"/>
            <w:bottom w:val="none" w:sz="0" w:space="0" w:color="auto"/>
            <w:right w:val="none" w:sz="0" w:space="0" w:color="auto"/>
          </w:divBdr>
        </w:div>
        <w:div w:id="1918708697">
          <w:marLeft w:val="1800"/>
          <w:marRight w:val="0"/>
          <w:marTop w:val="100"/>
          <w:marBottom w:val="0"/>
          <w:divBdr>
            <w:top w:val="none" w:sz="0" w:space="0" w:color="auto"/>
            <w:left w:val="none" w:sz="0" w:space="0" w:color="auto"/>
            <w:bottom w:val="none" w:sz="0" w:space="0" w:color="auto"/>
            <w:right w:val="none" w:sz="0" w:space="0" w:color="auto"/>
          </w:divBdr>
        </w:div>
        <w:div w:id="1126462033">
          <w:marLeft w:val="1080"/>
          <w:marRight w:val="0"/>
          <w:marTop w:val="100"/>
          <w:marBottom w:val="0"/>
          <w:divBdr>
            <w:top w:val="none" w:sz="0" w:space="0" w:color="auto"/>
            <w:left w:val="none" w:sz="0" w:space="0" w:color="auto"/>
            <w:bottom w:val="none" w:sz="0" w:space="0" w:color="auto"/>
            <w:right w:val="none" w:sz="0" w:space="0" w:color="auto"/>
          </w:divBdr>
        </w:div>
        <w:div w:id="190338004">
          <w:marLeft w:val="1800"/>
          <w:marRight w:val="0"/>
          <w:marTop w:val="100"/>
          <w:marBottom w:val="0"/>
          <w:divBdr>
            <w:top w:val="none" w:sz="0" w:space="0" w:color="auto"/>
            <w:left w:val="none" w:sz="0" w:space="0" w:color="auto"/>
            <w:bottom w:val="none" w:sz="0" w:space="0" w:color="auto"/>
            <w:right w:val="none" w:sz="0" w:space="0" w:color="auto"/>
          </w:divBdr>
        </w:div>
      </w:divsChild>
    </w:div>
    <w:div w:id="312412189">
      <w:bodyDiv w:val="1"/>
      <w:marLeft w:val="0"/>
      <w:marRight w:val="0"/>
      <w:marTop w:val="0"/>
      <w:marBottom w:val="0"/>
      <w:divBdr>
        <w:top w:val="none" w:sz="0" w:space="0" w:color="auto"/>
        <w:left w:val="none" w:sz="0" w:space="0" w:color="auto"/>
        <w:bottom w:val="none" w:sz="0" w:space="0" w:color="auto"/>
        <w:right w:val="none" w:sz="0" w:space="0" w:color="auto"/>
      </w:divBdr>
      <w:divsChild>
        <w:div w:id="722870288">
          <w:marLeft w:val="1080"/>
          <w:marRight w:val="0"/>
          <w:marTop w:val="100"/>
          <w:marBottom w:val="0"/>
          <w:divBdr>
            <w:top w:val="none" w:sz="0" w:space="0" w:color="auto"/>
            <w:left w:val="none" w:sz="0" w:space="0" w:color="auto"/>
            <w:bottom w:val="none" w:sz="0" w:space="0" w:color="auto"/>
            <w:right w:val="none" w:sz="0" w:space="0" w:color="auto"/>
          </w:divBdr>
        </w:div>
      </w:divsChild>
    </w:div>
    <w:div w:id="710616761">
      <w:bodyDiv w:val="1"/>
      <w:marLeft w:val="0"/>
      <w:marRight w:val="0"/>
      <w:marTop w:val="0"/>
      <w:marBottom w:val="0"/>
      <w:divBdr>
        <w:top w:val="none" w:sz="0" w:space="0" w:color="auto"/>
        <w:left w:val="none" w:sz="0" w:space="0" w:color="auto"/>
        <w:bottom w:val="none" w:sz="0" w:space="0" w:color="auto"/>
        <w:right w:val="none" w:sz="0" w:space="0" w:color="auto"/>
      </w:divBdr>
      <w:divsChild>
        <w:div w:id="1695770429">
          <w:marLeft w:val="360"/>
          <w:marRight w:val="0"/>
          <w:marTop w:val="200"/>
          <w:marBottom w:val="0"/>
          <w:divBdr>
            <w:top w:val="none" w:sz="0" w:space="0" w:color="auto"/>
            <w:left w:val="none" w:sz="0" w:space="0" w:color="auto"/>
            <w:bottom w:val="none" w:sz="0" w:space="0" w:color="auto"/>
            <w:right w:val="none" w:sz="0" w:space="0" w:color="auto"/>
          </w:divBdr>
        </w:div>
        <w:div w:id="2008551449">
          <w:marLeft w:val="1080"/>
          <w:marRight w:val="0"/>
          <w:marTop w:val="100"/>
          <w:marBottom w:val="0"/>
          <w:divBdr>
            <w:top w:val="none" w:sz="0" w:space="0" w:color="auto"/>
            <w:left w:val="none" w:sz="0" w:space="0" w:color="auto"/>
            <w:bottom w:val="none" w:sz="0" w:space="0" w:color="auto"/>
            <w:right w:val="none" w:sz="0" w:space="0" w:color="auto"/>
          </w:divBdr>
        </w:div>
        <w:div w:id="2000692411">
          <w:marLeft w:val="1080"/>
          <w:marRight w:val="0"/>
          <w:marTop w:val="100"/>
          <w:marBottom w:val="0"/>
          <w:divBdr>
            <w:top w:val="none" w:sz="0" w:space="0" w:color="auto"/>
            <w:left w:val="none" w:sz="0" w:space="0" w:color="auto"/>
            <w:bottom w:val="none" w:sz="0" w:space="0" w:color="auto"/>
            <w:right w:val="none" w:sz="0" w:space="0" w:color="auto"/>
          </w:divBdr>
        </w:div>
        <w:div w:id="558174807">
          <w:marLeft w:val="1080"/>
          <w:marRight w:val="0"/>
          <w:marTop w:val="100"/>
          <w:marBottom w:val="0"/>
          <w:divBdr>
            <w:top w:val="none" w:sz="0" w:space="0" w:color="auto"/>
            <w:left w:val="none" w:sz="0" w:space="0" w:color="auto"/>
            <w:bottom w:val="none" w:sz="0" w:space="0" w:color="auto"/>
            <w:right w:val="none" w:sz="0" w:space="0" w:color="auto"/>
          </w:divBdr>
        </w:div>
      </w:divsChild>
    </w:div>
    <w:div w:id="967707652">
      <w:bodyDiv w:val="1"/>
      <w:marLeft w:val="0"/>
      <w:marRight w:val="0"/>
      <w:marTop w:val="0"/>
      <w:marBottom w:val="0"/>
      <w:divBdr>
        <w:top w:val="none" w:sz="0" w:space="0" w:color="auto"/>
        <w:left w:val="none" w:sz="0" w:space="0" w:color="auto"/>
        <w:bottom w:val="none" w:sz="0" w:space="0" w:color="auto"/>
        <w:right w:val="none" w:sz="0" w:space="0" w:color="auto"/>
      </w:divBdr>
      <w:divsChild>
        <w:div w:id="1515222656">
          <w:marLeft w:val="1080"/>
          <w:marRight w:val="0"/>
          <w:marTop w:val="100"/>
          <w:marBottom w:val="0"/>
          <w:divBdr>
            <w:top w:val="none" w:sz="0" w:space="0" w:color="auto"/>
            <w:left w:val="none" w:sz="0" w:space="0" w:color="auto"/>
            <w:bottom w:val="none" w:sz="0" w:space="0" w:color="auto"/>
            <w:right w:val="none" w:sz="0" w:space="0" w:color="auto"/>
          </w:divBdr>
        </w:div>
      </w:divsChild>
    </w:div>
    <w:div w:id="1374041933">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1222</Words>
  <Characters>9903</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11103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49</cp:revision>
  <cp:lastPrinted>2002-04-23T07:10:00Z</cp:lastPrinted>
  <dcterms:created xsi:type="dcterms:W3CDTF">2021-01-14T13:16:00Z</dcterms:created>
  <dcterms:modified xsi:type="dcterms:W3CDTF">2021-01-14T14:22:00Z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